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LP-09 Management Review Procedure | LabKitPro Management Review Pack :root{--ink:#10202e;--ink2:#38505f;--muted:#5d7180;--bg:#f6f8fa;--card:#fff;--line:#dde5eb;--brand:#0f2f4a;--accent:#0e8f7d;--accent2:#1b6ea8;--warn:#a35b1a} *{box-sizing:border-box;margin:0;padding:0} body{font-family:"Inter","Segoe UI","Helvetica Neue",-apple-system,sans-serif;background:var(--bg);color:var(--ink);line-height:1.8;font-size:15px} .wrap{max-width:1080px;margin:0 auto;padding:0 24px 80px} header.hero{background:linear-gradient(135deg,#0f2f4a 0%,#16456b 60%,#1b6ea8 100%);color:#fff;padding:44px 24px 34px;margin-bottom:28px} .hero-inner{max-width:1080px;margin:0 auto} .kicker{font-size:13px;letter-spacing:2px;color:#8fd8cb;text-transform:uppercase;margin-bottom:10px} h1{font-size:28px;font-weight:800;margin-bottom:10px} .sub{font-size:14.5px;color:#cfe0ec;max-width:820px} .badge-row{margin-top:16px;display:flex;flex-wrap:wrap;gap:8px} .badge{font-size:12px;padding:4px 12px;border-radius:999px;background:rgba(255,255,255,.12);border:1px solid rgba(255,255,255,.25);color:#e8f2fa} h2{font-size:20px;font-weight:800;color:var(--brand);margin:36px 0 8px;padding-top:8px;border-top:2px solid #e3ecf2} h3{font-size:15.5px;font-weight:700;color:var(--ink2);margin:20px 0 8px} p{margin:6px 0} table{width:100%;border-collapse:collapse;margin:10px 0 6px;font-size:13px;table-layout:fixed} th{background:#eef3f7;color:var(--ink2);font-weight:700;text-align:left;padding:8px;border:1px solid var(--line)} td{padding:8px;border:1px solid var(--line);vertical-align:top} .note{background:#fff8ec;border:1px solid #f0d9b8;border-radius:10px;padding:12px 16px;font-size:13px;color:#6b5320;margin:14px 0} .note b{color:#a35b1a} .flow{background:#eef5fb;border:1px solid #c6dcef;border-radius:10px;padding:14px 18px;font-size:13.5px;color:#234b6e;margin:12px 0;line-height:2.1} .flow b{color:var(--brand)} .foot{margin-top:48px;padding-top:18px;border-top:1px solid var(--line);color:var(--muted);font-size:12.5px;text-align:center} .ph{color:#98a8b6} @media(max-width:760px){h1{font-size:22px}table{font-size:12px;min-width:520px}th,td{padding:5px}.wrap{padding:0 14px 60px}} LabKitPro · Level-B Procedure (LP) · Corresponds to website library LP-09 Management Review Procedure</w:t>
      </w:r>
    </w:p>
    <w:p>
      <w:pPr>
        <w:pStyle w:val="Heading1"/>
      </w:pPr>
    </w:p>
    <w:p>
      <w:r>
        <w:t>Requires top management to systematically review the management system at planned intervals and to ensure its continuing suitability, adequacy and effectiveness (§8.9.1), covering the full flow of the 15 inputs (§8.9.2 a)–o)) and the 4 outputs (§8.9.3 a)–d)). Doc No. LP-09 Version V1.0 Corresponds to §8.9.1 / §8.9.2 / §8.9.3 Chaired by: top management (laboratory director) 1 Purpose</w:t>
      </w:r>
    </w:p>
    <w:p>
      <w:pPr>
        <w:pStyle w:val="Heading2"/>
      </w:pPr>
    </w:p>
    <w:p>
      <w:r>
        <w:t xml:space="preserve">To standardise the laboratory's management review activities, ensure that top management systematically reviews the management system at planned intervals and evaluates its continuing </w:t>
      </w:r>
      <w:r>
        <w:rPr>
          <w:b/>
        </w:rPr>
        <w:t>suitability, adequacy and effectiveness</w:t>
      </w:r>
      <w:r>
        <w:t xml:space="preserve"> in alignment with the quality policy and objectives (ISO/IEC 17025:2017 §8.9.1). The management review is the laboratory's top-level decision mechanism to “review the past and plan the future”: by consolidating one year of system-operation evidence, it identifies improvement opportunities and resource gaps and forms binding decisions for the next cycle.</w:t>
      </w:r>
    </w:p>
    <w:p>
      <w:pPr>
        <w:pStyle w:val="Heading2"/>
      </w:pPr>
      <w:r>
        <w:t>2 Scope</w:t>
      </w:r>
    </w:p>
    <w:p>
      <w:r>
        <w:t>This procedure applies to the management review of all departments, all testing/calibration capabilities and all sites covered by the management system (including fixed, temporary, mobile and external facilities), covering both the annual routine review and additional reviews triggered by major changes. It interfaces with the Internal Audit Procedure (LP-02) — internal audit conclusions are a key input to the management review (§8.9.2 e)).</w:t>
      </w:r>
    </w:p>
    <w:p>
      <w:pPr>
        <w:pStyle w:val="Heading2"/>
      </w:pPr>
      <w:r>
        <w:t>3 Responsibilities</w:t>
      </w:r>
    </w:p>
    <w:tbl>
      <w:tblPr>
        <w:tblW w:type="auto" w:w="0"/>
        <w:tblLook w:firstColumn="1" w:firstRow="1" w:lastColumn="0" w:lastRow="0" w:noHBand="0" w:noVBand="1" w:val="04A0"/>
      </w:tblPr>
      <w:tblGrid>
        <w:gridCol w:w="4320"/>
        <w:gridCol w:w="4320"/>
      </w:tblGrid>
      <w:tr>
        <w:tc>
          <w:tcPr>
            <w:tcW w:type="dxa" w:w="0"/>
          </w:tcPr>
          <w:p>
            <w:r>
              <w:t>Role</w:t>
            </w:r>
          </w:p>
        </w:tc>
        <w:tc>
          <w:tcPr>
            <w:tcW w:type="dxa" w:w="0"/>
          </w:tcPr>
          <w:p>
            <w:r>
              <w:t>Responsibilities</w:t>
            </w:r>
          </w:p>
        </w:tc>
      </w:tr>
      <w:tr>
        <w:tc>
          <w:tcPr>
            <w:tcW w:type="dxa" w:w="0"/>
          </w:tcPr>
          <w:p>
            <w:r>
              <w:t>Top management (laboratory director)</w:t>
            </w:r>
          </w:p>
        </w:tc>
        <w:tc>
          <w:tcPr>
            <w:tcW w:type="dxa" w:w="0"/>
          </w:tcPr>
          <w:p>
            <w:r>
              <w:t>Chairs the management review; approves the review plan, report and decisions; makes final decisions on resource investment and system changes; ensures resources are available to implement decisions.</w:t>
            </w:r>
          </w:p>
        </w:tc>
      </w:tr>
      <w:tr>
        <w:tc>
          <w:tcPr>
            <w:tcW w:type="dxa" w:w="0"/>
          </w:tcPr>
          <w:p>
            <w:r>
              <w:t>Quality Manager</w:t>
            </w:r>
          </w:p>
        </w:tc>
        <w:tc>
          <w:tcPr>
            <w:tcW w:type="dxa" w:w="0"/>
          </w:tcPr>
          <w:p>
            <w:r>
              <w:t>Owns the management review process; prepares the annual plan (MR-01) and notice/implementation plan (MR-02); organises collection of the 15 inputs (MR-03); drafts the review report (MR-05); maintains the decision tracker (MR-06).</w:t>
            </w:r>
          </w:p>
        </w:tc>
      </w:tr>
      <w:tr>
        <w:tc>
          <w:tcPr>
            <w:tcW w:type="dxa" w:w="0"/>
          </w:tcPr>
          <w:p>
            <w:r>
              <w:t>Technical Manager</w:t>
            </w:r>
          </w:p>
        </w:tc>
        <w:tc>
          <w:tcPr>
            <w:tcW w:type="dxa" w:w="0"/>
          </w:tcPr>
          <w:p>
            <w:r>
              <w:t>Provides technical inputs (validity of results, methods, equipment, proficiency testing, risk identification, etc.); participates in implementing technical decisions.</w:t>
            </w:r>
          </w:p>
        </w:tc>
      </w:tr>
      <w:tr>
        <w:tc>
          <w:tcPr>
            <w:tcW w:type="dxa" w:w="0"/>
          </w:tcPr>
          <w:p>
            <w:r>
              <w:t>Heads of departments</w:t>
            </w:r>
          </w:p>
        </w:tc>
        <w:tc>
          <w:tcPr>
            <w:tcW w:type="dxa" w:w="0"/>
          </w:tcPr>
          <w:p>
            <w:r>
              <w:t>Submit their department's inputs per the MR-07 calendar; implement decisions affecting their department; feed back progress.</w:t>
            </w:r>
          </w:p>
        </w:tc>
      </w:tr>
      <w:tr>
        <w:tc>
          <w:tcPr>
            <w:tcW w:type="dxa" w:w="0"/>
          </w:tcPr>
          <w:p>
            <w:r>
              <w:t>Authorised signatories / supervisors</w:t>
            </w:r>
          </w:p>
        </w:tc>
        <w:tc>
          <w:tcPr>
            <w:tcW w:type="dxa" w:w="0"/>
          </w:tcPr>
          <w:p>
            <w:r>
              <w:t>Provide inputs and evidence on report quality, complaint handling, QC effectiveness, etc.</w:t>
            </w:r>
          </w:p>
        </w:tc>
      </w:tr>
    </w:tbl>
    <w:p>
      <w:r>
        <w:t xml:space="preserve"> </w:t>
      </w:r>
    </w:p>
    <w:p>
      <w:r>
        <w:t xml:space="preserve"> </w:t>
      </w:r>
    </w:p>
    <w:p>
      <w:r>
        <w:t xml:space="preserve"> </w:t>
      </w:r>
    </w:p>
    <w:p>
      <w:r>
        <w:t xml:space="preserve"> </w:t>
      </w:r>
    </w:p>
    <w:p>
      <w:r>
        <w:t xml:space="preserve"> </w:t>
      </w:r>
    </w:p>
    <w:p>
      <w:r>
        <w:t xml:space="preserve"> 4 Definitions</w:t>
      </w:r>
    </w:p>
    <w:p>
      <w:pPr>
        <w:pStyle w:val="Heading2"/>
      </w:pPr>
    </w:p>
    <w:tbl>
      <w:tblPr>
        <w:tblW w:type="auto" w:w="0"/>
        <w:tblLook w:firstColumn="1" w:firstRow="1" w:lastColumn="0" w:lastRow="0" w:noHBand="0" w:noVBand="1" w:val="04A0"/>
      </w:tblPr>
      <w:tblGrid>
        <w:gridCol w:w="4320"/>
        <w:gridCol w:w="4320"/>
      </w:tblGrid>
      <w:tr>
        <w:tc>
          <w:tcPr>
            <w:tcW w:type="dxa" w:w="0"/>
          </w:tcPr>
          <w:p>
            <w:r>
              <w:t>Term</w:t>
            </w:r>
          </w:p>
        </w:tc>
        <w:tc>
          <w:tcPr>
            <w:tcW w:type="dxa" w:w="0"/>
          </w:tcPr>
          <w:p>
            <w:r>
              <w:t>Meaning</w:t>
            </w:r>
          </w:p>
        </w:tc>
      </w:tr>
      <w:tr>
        <w:tc>
          <w:tcPr>
            <w:tcW w:type="dxa" w:w="0"/>
          </w:tcPr>
          <w:p>
            <w:r>
              <w:t>Management review</w:t>
            </w:r>
          </w:p>
        </w:tc>
        <w:tc>
          <w:tcPr>
            <w:tcW w:type="dxa" w:w="0"/>
          </w:tcPr>
          <w:p>
            <w:r>
              <w:t>A systematic review by top management at planned intervals to ensure continuing suitability, adequacy and effectiveness of the system, in alignment with the policy and objectives (§8.9.1).</w:t>
            </w:r>
          </w:p>
        </w:tc>
      </w:tr>
      <w:tr>
        <w:tc>
          <w:tcPr>
            <w:tcW w:type="dxa" w:w="0"/>
          </w:tcPr>
          <w:p>
            <w:r>
              <w:t>Suitability</w:t>
            </w:r>
          </w:p>
        </w:tc>
        <w:tc>
          <w:tcPr>
            <w:tcW w:type="dxa" w:w="0"/>
          </w:tcPr>
          <w:p>
            <w:r>
              <w:t>Whether the system still matches the laboratory's current reality (does it still “fit” after changes in internal/external factors, workload and scope).</w:t>
            </w:r>
          </w:p>
        </w:tc>
      </w:tr>
      <w:tr>
        <w:tc>
          <w:tcPr>
            <w:tcW w:type="dxa" w:w="0"/>
          </w:tcPr>
          <w:p>
            <w:r>
              <w:t>Adequacy</w:t>
            </w:r>
          </w:p>
        </w:tc>
        <w:tc>
          <w:tcPr>
            <w:tcW w:type="dxa" w:w="0"/>
          </w:tcPr>
          <w:p>
            <w:r>
              <w:t>Whether the system elements are complete and cover all criteria and business requirements, without gaps.</w:t>
            </w:r>
          </w:p>
        </w:tc>
      </w:tr>
      <w:tr>
        <w:tc>
          <w:tcPr>
            <w:tcW w:type="dxa" w:w="0"/>
          </w:tcPr>
          <w:p>
            <w:r>
              <w:t>Effectiveness</w:t>
            </w:r>
          </w:p>
        </w:tc>
        <w:tc>
          <w:tcPr>
            <w:tcW w:type="dxa" w:w="0"/>
          </w:tcPr>
          <w:p>
            <w:r>
              <w:t>Whether the system actually achieves the quality policy and objectives and ensures result validity (evidenced, not merely “done”).</w:t>
            </w:r>
          </w:p>
        </w:tc>
      </w:tr>
      <w:tr>
        <w:tc>
          <w:tcPr>
            <w:tcW w:type="dxa" w:w="0"/>
          </w:tcPr>
          <w:p>
            <w:r>
              <w:t>Inputs / outputs</w:t>
            </w:r>
          </w:p>
        </w:tc>
        <w:tc>
          <w:tcPr>
            <w:tcW w:type="dxa" w:w="0"/>
          </w:tcPr>
          <w:p>
            <w:r>
              <w:t>Inputs = the evidence and information reviewed (§8.9.2, 15 items); outputs = the decisions and measures formed (§8.9.3, 4 items).</w:t>
            </w:r>
          </w:p>
        </w:tc>
      </w:tr>
    </w:tbl>
    <w:p>
      <w:r>
        <w:t xml:space="preserve"> </w:t>
      </w:r>
    </w:p>
    <w:p>
      <w:r>
        <w:t xml:space="preserve"> </w:t>
      </w:r>
    </w:p>
    <w:p>
      <w:r>
        <w:t xml:space="preserve"> </w:t>
      </w:r>
    </w:p>
    <w:p>
      <w:r>
        <w:t xml:space="preserve"> </w:t>
      </w:r>
    </w:p>
    <w:p>
      <w:r>
        <w:t xml:space="preserve"> </w:t>
      </w:r>
    </w:p>
    <w:p>
      <w:r>
        <w:t xml:space="preserve"> 5 Procedure</w:t>
      </w:r>
    </w:p>
    <w:p>
      <w:pPr>
        <w:pStyle w:val="Heading2"/>
      </w:pPr>
    </w:p>
    <w:p>
      <w:pPr>
        <w:pStyle w:val="Heading3"/>
      </w:pPr>
      <w:r>
        <w:t>5.1 Review Planning (interval and triggers)</w:t>
      </w:r>
    </w:p>
    <w:p>
      <w:r>
        <w:t xml:space="preserve">① The routine review is held </w:t>
      </w:r>
      <w:r>
        <w:rPr>
          <w:b/>
        </w:rPr>
        <w:t>at least once every 12 months</w:t>
      </w:r>
      <w:r>
        <w:t xml:space="preserve"> (typically after internal audits are complete and before the next year's plan starts). The Quality Manager prepares the next year's </w:t>
      </w:r>
      <w:r>
        <w:rPr>
          <w:i/>
        </w:rPr>
        <w:t>Management Review Plan</w:t>
      </w:r>
      <w:r>
        <w:t xml:space="preserve"> (MR-01) in Q4, specifying time, scope and input allocation, approved by top management.</w:t>
      </w:r>
    </w:p>
    <w:p>
      <w:r>
        <w:t>② Top management may decide on an additional review when any of the following occurs: major scope extension/reduction; organisational or legal-entity change; major nonconformity in external assessments (accreditation body, regulator, customer); major complaint or result-validity incident; major change in resources (personnel/premises/equipment).</w:t>
      </w:r>
    </w:p>
    <w:p>
      <w:r>
        <w:t xml:space="preserve">③ Once approved, the annual plan is loaded into the </w:t>
      </w:r>
      <w:r>
        <w:rPr>
          <w:i/>
        </w:rPr>
        <w:t>Management Review Input Preparation Calendar</w:t>
      </w:r>
      <w:r>
        <w:t xml:space="preserve"> (MR-07), which issues milestone reminders to all departments.</w:t>
      </w:r>
    </w:p>
    <w:p>
      <w:pPr>
        <w:pStyle w:val="Heading3"/>
      </w:pPr>
      <w:r>
        <w:t>5.2 Input Preparation (§8.9.2 a)–o), 15 items)</w:t>
      </w:r>
    </w:p>
    <w:p>
      <w:r>
        <w:t xml:space="preserve">Led by the Quality Manager, departments submit inputs per the MR-07 milestones, consolidated into the </w:t>
      </w:r>
      <w:r>
        <w:rPr>
          <w:i/>
        </w:rPr>
        <w:t>Management Review Inputs</w:t>
      </w:r>
      <w:r>
        <w:t xml:space="preserve"> (MR-03). Inputs must be “data-based, evidenced and verifiable” — empty words are prohibited. The 15 items and their allocation:</w:t>
      </w:r>
    </w:p>
    <w:tbl>
      <w:tblPr>
        <w:tblW w:type="auto" w:w="0"/>
        <w:tblLook w:firstColumn="1" w:firstRow="1" w:lastColumn="0" w:lastRow="0" w:noHBand="0" w:noVBand="1" w:val="04A0"/>
      </w:tblPr>
      <w:tblGrid>
        <w:gridCol w:w="2160"/>
        <w:gridCol w:w="2160"/>
        <w:gridCol w:w="2160"/>
        <w:gridCol w:w="2160"/>
      </w:tblGrid>
      <w:tr>
        <w:tc>
          <w:tcPr>
            <w:tcW w:type="dxa" w:w="0"/>
          </w:tcPr>
          <w:p>
            <w:r>
              <w:t>Item</w:t>
            </w:r>
          </w:p>
        </w:tc>
        <w:tc>
          <w:tcPr>
            <w:tcW w:type="dxa" w:w="0"/>
          </w:tcPr>
          <w:p>
            <w:r>
              <w:t>§8.9.2 input</w:t>
            </w:r>
          </w:p>
        </w:tc>
        <w:tc>
          <w:tcPr>
            <w:tcW w:type="dxa" w:w="0"/>
          </w:tcPr>
          <w:p>
            <w:r>
              <w:t>Main evidence sources</w:t>
            </w:r>
          </w:p>
        </w:tc>
        <w:tc>
          <w:tcPr>
            <w:tcW w:type="dxa" w:w="0"/>
          </w:tcPr>
          <w:p>
            <w:r>
              <w:t>Lead department</w:t>
            </w:r>
          </w:p>
        </w:tc>
      </w:tr>
      <w:tr>
        <w:tc>
          <w:tcPr>
            <w:tcW w:type="dxa" w:w="0"/>
          </w:tcPr>
          <w:p>
            <w:r>
              <w:t>a</w:t>
            </w:r>
          </w:p>
        </w:tc>
        <w:tc>
          <w:tcPr>
            <w:tcW w:type="dxa" w:w="0"/>
          </w:tcPr>
          <w:p>
            <w:r>
              <w:t>Changes in internal and external factors relevant to the laboratory</w:t>
            </w:r>
          </w:p>
        </w:tc>
        <w:tc>
          <w:tcPr>
            <w:tcW w:type="dxa" w:w="0"/>
          </w:tcPr>
          <w:p>
            <w:r>
              <w:t>PEST / interested-party analysis, market environment, regulatory updates</w:t>
            </w:r>
          </w:p>
        </w:tc>
        <w:tc>
          <w:tcPr>
            <w:tcW w:type="dxa" w:w="0"/>
          </w:tcPr>
          <w:p>
            <w:r>
              <w:t>Administration / management</w:t>
            </w:r>
          </w:p>
        </w:tc>
      </w:tr>
      <w:tr>
        <w:tc>
          <w:tcPr>
            <w:tcW w:type="dxa" w:w="0"/>
          </w:tcPr>
          <w:p>
            <w:r>
              <w:t>b</w:t>
            </w:r>
          </w:p>
        </w:tc>
        <w:tc>
          <w:tcPr>
            <w:tcW w:type="dxa" w:w="0"/>
          </w:tcPr>
          <w:p>
            <w:r>
              <w:t>Extent to which objectives were met</w:t>
            </w:r>
          </w:p>
        </w:tc>
        <w:tc>
          <w:tcPr>
            <w:tcW w:type="dxa" w:w="0"/>
          </w:tcPr>
          <w:p>
            <w:r>
              <w:t>Annual quality objective attainment statistics</w:t>
            </w:r>
          </w:p>
        </w:tc>
        <w:tc>
          <w:tcPr>
            <w:tcW w:type="dxa" w:w="0"/>
          </w:tcPr>
          <w:p>
            <w:r>
              <w:t>Quality Manager</w:t>
            </w:r>
          </w:p>
        </w:tc>
      </w:tr>
      <w:tr>
        <w:tc>
          <w:tcPr>
            <w:tcW w:type="dxa" w:w="0"/>
          </w:tcPr>
          <w:p>
            <w:r>
              <w:t>c</w:t>
            </w:r>
          </w:p>
        </w:tc>
        <w:tc>
          <w:tcPr>
            <w:tcW w:type="dxa" w:w="0"/>
          </w:tcPr>
          <w:p>
            <w:r>
              <w:t>Appropriateness of policies and procedures</w:t>
            </w:r>
          </w:p>
        </w:tc>
        <w:tc>
          <w:tcPr>
            <w:tcW w:type="dxa" w:w="0"/>
          </w:tcPr>
          <w:p>
            <w:r>
              <w:t>System document review records, revision ledger</w:t>
            </w:r>
          </w:p>
        </w:tc>
        <w:tc>
          <w:tcPr>
            <w:tcW w:type="dxa" w:w="0"/>
          </w:tcPr>
          <w:p>
            <w:r>
              <w:t>Quality Manager</w:t>
            </w:r>
          </w:p>
        </w:tc>
      </w:tr>
      <w:tr>
        <w:tc>
          <w:tcPr>
            <w:tcW w:type="dxa" w:w="0"/>
          </w:tcPr>
          <w:p>
            <w:r>
              <w:t>d</w:t>
            </w:r>
          </w:p>
        </w:tc>
        <w:tc>
          <w:tcPr>
            <w:tcW w:type="dxa" w:w="0"/>
          </w:tcPr>
          <w:p>
            <w:r>
              <w:t>Status of actions from previous management reviews</w:t>
            </w:r>
          </w:p>
        </w:tc>
        <w:tc>
          <w:tcPr>
            <w:tcW w:type="dxa" w:w="0"/>
          </w:tcPr>
          <w:p>
            <w:r>
              <w:t>Completion check of last year's MR-06</w:t>
            </w:r>
          </w:p>
        </w:tc>
        <w:tc>
          <w:tcPr>
            <w:tcW w:type="dxa" w:w="0"/>
          </w:tcPr>
          <w:p>
            <w:r>
              <w:t>Quality Manager</w:t>
            </w:r>
          </w:p>
        </w:tc>
      </w:tr>
      <w:tr>
        <w:tc>
          <w:tcPr>
            <w:tcW w:type="dxa" w:w="0"/>
          </w:tcPr>
          <w:p>
            <w:r>
              <w:t>e</w:t>
            </w:r>
          </w:p>
        </w:tc>
        <w:tc>
          <w:tcPr>
            <w:tcW w:type="dxa" w:w="0"/>
          </w:tcPr>
          <w:p>
            <w:r>
              <w:t>Results of recent internal audits</w:t>
            </w:r>
          </w:p>
        </w:tc>
        <w:tc>
          <w:tcPr>
            <w:tcW w:type="dxa" w:w="0"/>
          </w:tcPr>
          <w:p>
            <w:r>
              <w:t>FR-25 audit report + IA-05 trend</w:t>
            </w:r>
          </w:p>
        </w:tc>
        <w:tc>
          <w:tcPr>
            <w:tcW w:type="dxa" w:w="0"/>
          </w:tcPr>
          <w:p>
            <w:r>
              <w:t>Audit team leader</w:t>
            </w:r>
          </w:p>
        </w:tc>
      </w:tr>
      <w:tr>
        <w:tc>
          <w:tcPr>
            <w:tcW w:type="dxa" w:w="0"/>
          </w:tcPr>
          <w:p>
            <w:r>
              <w:t>f</w:t>
            </w:r>
          </w:p>
        </w:tc>
        <w:tc>
          <w:tcPr>
            <w:tcW w:type="dxa" w:w="0"/>
          </w:tcPr>
          <w:p>
            <w:r>
              <w:t>Corrective actions</w:t>
            </w:r>
          </w:p>
        </w:tc>
        <w:tc>
          <w:tcPr>
            <w:tcW w:type="dxa" w:w="0"/>
          </w:tcPr>
          <w:p>
            <w:r>
              <w:t>FR-24 ledger, IA-06 closure rate</w:t>
            </w:r>
          </w:p>
        </w:tc>
        <w:tc>
          <w:tcPr>
            <w:tcW w:type="dxa" w:w="0"/>
          </w:tcPr>
          <w:p>
            <w:r>
              <w:t>Responsible departments</w:t>
            </w:r>
          </w:p>
        </w:tc>
      </w:tr>
      <w:tr>
        <w:tc>
          <w:tcPr>
            <w:tcW w:type="dxa" w:w="0"/>
          </w:tcPr>
          <w:p>
            <w:r>
              <w:t>g</w:t>
            </w:r>
          </w:p>
        </w:tc>
        <w:tc>
          <w:tcPr>
            <w:tcW w:type="dxa" w:w="0"/>
          </w:tcPr>
          <w:p>
            <w:r>
              <w:t>Reviews by external bodies</w:t>
            </w:r>
          </w:p>
        </w:tc>
        <w:tc>
          <w:tcPr>
            <w:tcW w:type="dxa" w:w="0"/>
          </w:tcPr>
          <w:p>
            <w:r>
              <w:t>Accreditation / regulatory assessment results, observations</w:t>
            </w:r>
          </w:p>
        </w:tc>
        <w:tc>
          <w:tcPr>
            <w:tcW w:type="dxa" w:w="0"/>
          </w:tcPr>
          <w:p>
            <w:r>
              <w:t>Quality Manager</w:t>
            </w:r>
          </w:p>
        </w:tc>
      </w:tr>
      <w:tr>
        <w:tc>
          <w:tcPr>
            <w:tcW w:type="dxa" w:w="0"/>
          </w:tcPr>
          <w:p>
            <w:r>
              <w:t>h</w:t>
            </w:r>
          </w:p>
        </w:tc>
        <w:tc>
          <w:tcPr>
            <w:tcW w:type="dxa" w:w="0"/>
          </w:tcPr>
          <w:p>
            <w:r>
              <w:t>Changes in workload / type / scope of activities</w:t>
            </w:r>
          </w:p>
        </w:tc>
        <w:tc>
          <w:tcPr>
            <w:tcW w:type="dxa" w:w="0"/>
          </w:tcPr>
          <w:p>
            <w:r>
              <w:t>Workload statistics, scope extension / subcontracting records</w:t>
            </w:r>
          </w:p>
        </w:tc>
        <w:tc>
          <w:tcPr>
            <w:tcW w:type="dxa" w:w="0"/>
          </w:tcPr>
          <w:p>
            <w:r>
              <w:t>Business / technical</w:t>
            </w:r>
          </w:p>
        </w:tc>
      </w:tr>
      <w:tr>
        <w:tc>
          <w:tcPr>
            <w:tcW w:type="dxa" w:w="0"/>
          </w:tcPr>
          <w:p>
            <w:r>
              <w:t>i</w:t>
            </w:r>
          </w:p>
        </w:tc>
        <w:tc>
          <w:tcPr>
            <w:tcW w:type="dxa" w:w="0"/>
          </w:tcPr>
          <w:p>
            <w:r>
              <w:t>Customer and personnel feedback</w:t>
            </w:r>
          </w:p>
        </w:tc>
        <w:tc>
          <w:tcPr>
            <w:tcW w:type="dxa" w:w="0"/>
          </w:tcPr>
          <w:p>
            <w:r>
              <w:t>Satisfaction surveys, employee feedback summaries</w:t>
            </w:r>
          </w:p>
        </w:tc>
        <w:tc>
          <w:tcPr>
            <w:tcW w:type="dxa" w:w="0"/>
          </w:tcPr>
          <w:p>
            <w:r>
              <w:t>Administration / HR</w:t>
            </w:r>
          </w:p>
        </w:tc>
      </w:tr>
      <w:tr>
        <w:tc>
          <w:tcPr>
            <w:tcW w:type="dxa" w:w="0"/>
          </w:tcPr>
          <w:p>
            <w:r>
              <w:t>j</w:t>
            </w:r>
          </w:p>
        </w:tc>
        <w:tc>
          <w:tcPr>
            <w:tcW w:type="dxa" w:w="0"/>
          </w:tcPr>
          <w:p>
            <w:r>
              <w:t>Complaints</w:t>
            </w:r>
          </w:p>
        </w:tc>
        <w:tc>
          <w:tcPr>
            <w:tcW w:type="dxa" w:w="0"/>
          </w:tcPr>
          <w:p>
            <w:r>
              <w:t>Complaint handling ledger (§7.9)</w:t>
            </w:r>
          </w:p>
        </w:tc>
        <w:tc>
          <w:tcPr>
            <w:tcW w:type="dxa" w:w="0"/>
          </w:tcPr>
          <w:p>
            <w:r>
              <w:t>Quality Manager</w:t>
            </w:r>
          </w:p>
        </w:tc>
      </w:tr>
      <w:tr>
        <w:tc>
          <w:tcPr>
            <w:tcW w:type="dxa" w:w="0"/>
          </w:tcPr>
          <w:p>
            <w:r>
              <w:t>k</w:t>
            </w:r>
          </w:p>
        </w:tc>
        <w:tc>
          <w:tcPr>
            <w:tcW w:type="dxa" w:w="0"/>
          </w:tcPr>
          <w:p>
            <w:r>
              <w:t>Effectiveness of implemented improvements</w:t>
            </w:r>
          </w:p>
        </w:tc>
        <w:tc>
          <w:tcPr>
            <w:tcW w:type="dxa" w:w="0"/>
          </w:tcPr>
          <w:p>
            <w:r>
              <w:t>Improvement measure effectiveness evaluations</w:t>
            </w:r>
          </w:p>
        </w:tc>
        <w:tc>
          <w:tcPr>
            <w:tcW w:type="dxa" w:w="0"/>
          </w:tcPr>
          <w:p>
            <w:r>
              <w:t>Quality Manager</w:t>
            </w:r>
          </w:p>
        </w:tc>
      </w:tr>
      <w:tr>
        <w:tc>
          <w:tcPr>
            <w:tcW w:type="dxa" w:w="0"/>
          </w:tcPr>
          <w:p>
            <w:r>
              <w:t>l</w:t>
            </w:r>
          </w:p>
        </w:tc>
        <w:tc>
          <w:tcPr>
            <w:tcW w:type="dxa" w:w="0"/>
          </w:tcPr>
          <w:p>
            <w:r>
              <w:t>Adequacy of resources</w:t>
            </w:r>
          </w:p>
        </w:tc>
        <w:tc>
          <w:tcPr>
            <w:tcW w:type="dxa" w:w="0"/>
          </w:tcPr>
          <w:p>
            <w:r>
              <w:t>Personnel / facilities / equipment / technical resource evaluations</w:t>
            </w:r>
          </w:p>
        </w:tc>
        <w:tc>
          <w:tcPr>
            <w:tcW w:type="dxa" w:w="0"/>
          </w:tcPr>
          <w:p>
            <w:r>
              <w:t>Technical Manager</w:t>
            </w:r>
          </w:p>
        </w:tc>
      </w:tr>
      <w:tr>
        <w:tc>
          <w:tcPr>
            <w:tcW w:type="dxa" w:w="0"/>
          </w:tcPr>
          <w:p>
            <w:r>
              <w:t>m</w:t>
            </w:r>
          </w:p>
        </w:tc>
        <w:tc>
          <w:tcPr>
            <w:tcW w:type="dxa" w:w="0"/>
          </w:tcPr>
          <w:p>
            <w:r>
              <w:t>Results of risk identification</w:t>
            </w:r>
          </w:p>
        </w:tc>
        <w:tc>
          <w:tcPr>
            <w:tcW w:type="dxa" w:w="0"/>
          </w:tcPr>
          <w:p>
            <w:r>
              <w:t>Risk and opportunity register (§8.5)</w:t>
            </w:r>
          </w:p>
        </w:tc>
        <w:tc>
          <w:tcPr>
            <w:tcW w:type="dxa" w:w="0"/>
          </w:tcPr>
          <w:p>
            <w:r>
              <w:t>Quality Manager</w:t>
            </w:r>
          </w:p>
        </w:tc>
      </w:tr>
      <w:tr>
        <w:tc>
          <w:tcPr>
            <w:tcW w:type="dxa" w:w="0"/>
          </w:tcPr>
          <w:p>
            <w:r>
              <w:t>n</w:t>
            </w:r>
          </w:p>
        </w:tc>
        <w:tc>
          <w:tcPr>
            <w:tcW w:type="dxa" w:w="0"/>
          </w:tcPr>
          <w:p>
            <w:r>
              <w:t>Outputs ensuring the validity of results</w:t>
            </w:r>
          </w:p>
        </w:tc>
        <w:tc>
          <w:tcPr>
            <w:tcW w:type="dxa" w:w="0"/>
          </w:tcPr>
          <w:p>
            <w:r>
              <w:t>Proficiency testing / QC / intermediate check summaries</w:t>
            </w:r>
          </w:p>
        </w:tc>
        <w:tc>
          <w:tcPr>
            <w:tcW w:type="dxa" w:w="0"/>
          </w:tcPr>
          <w:p>
            <w:r>
              <w:t>Technical Manager</w:t>
            </w:r>
          </w:p>
        </w:tc>
      </w:tr>
      <w:tr>
        <w:tc>
          <w:tcPr>
            <w:tcW w:type="dxa" w:w="0"/>
          </w:tcPr>
          <w:p>
            <w:r>
              <w:t>o</w:t>
            </w:r>
          </w:p>
        </w:tc>
        <w:tc>
          <w:tcPr>
            <w:tcW w:type="dxa" w:w="0"/>
          </w:tcPr>
          <w:p>
            <w:r>
              <w:t>Other relevant factors (monitoring activities, training, etc.)</w:t>
            </w:r>
          </w:p>
        </w:tc>
        <w:tc>
          <w:tcPr>
            <w:tcW w:type="dxa" w:w="0"/>
          </w:tcPr>
          <w:p>
            <w:r>
              <w:t>Monitoring records, training matrix and completion rates</w:t>
            </w:r>
          </w:p>
        </w:tc>
        <w:tc>
          <w:tcPr>
            <w:tcW w:type="dxa" w:w="0"/>
          </w:tcPr>
          <w:p>
            <w:r>
              <w:t>All departments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Key requirement:</w:t>
      </w:r>
      <w:r>
        <w:t xml:space="preserve"> every input must carry “conclusion + evidence reference”; writing only “normal” is not acceptable. For example, item b must not say “objectives basically met” — it should say “5 of 6 annual objectives met; 1 unmet (report on-time rate 92%, target 95%), reasons in the body”. 5.3 Review Notice and Meeting Organisation</w:t>
      </w:r>
    </w:p>
    <w:p>
      <w:pPr>
        <w:pStyle w:val="Heading3"/>
      </w:pPr>
    </w:p>
    <w:p>
      <w:r>
        <w:t xml:space="preserve">① At least </w:t>
      </w:r>
      <w:r>
        <w:rPr>
          <w:b/>
        </w:rPr>
        <w:t>10 working days</w:t>
      </w:r>
      <w:r>
        <w:t xml:space="preserve"> before the review, the Quality Manager issues the </w:t>
      </w:r>
      <w:r>
        <w:rPr>
          <w:i/>
        </w:rPr>
        <w:t>Management Review Notice &amp; Implementation Plan</w:t>
      </w:r>
      <w:r>
        <w:t xml:space="preserve"> (MR-02) with the agenda, input list and material submission deadline.</w:t>
      </w:r>
    </w:p>
    <w:p>
      <w:r>
        <w:t>② Inputs are pre-reviewed before the meeting; major issues requiring decisions are identified and compiled into an “issues to be decided” list attached to MR-02.</w:t>
      </w:r>
    </w:p>
    <w:p>
      <w:r>
        <w:t xml:space="preserve">③ The meeting is chaired by top management, minuted by the Quality Manager, producing the </w:t>
      </w:r>
      <w:r>
        <w:rPr>
          <w:i/>
        </w:rPr>
        <w:t>Management Review Minutes</w:t>
      </w:r>
      <w:r>
        <w:t xml:space="preserve"> (MR-04; corresponds to website library FR-26/FR-43). Attendees sign the attendance page; key topics must reach an explicit “decided / not decided / postponed” conclusion.</w:t>
      </w:r>
    </w:p>
    <w:p>
      <w:pPr>
        <w:pStyle w:val="Heading3"/>
      </w:pPr>
      <w:r>
        <w:t>5.4 Review Execution (four review dimensions)</w:t>
      </w:r>
    </w:p>
    <w:p>
      <w:r>
        <w:t>The meeting proceeds on the following logic, judging each input in turn:</w:t>
      </w:r>
    </w:p>
    <w:tbl>
      <w:tblPr>
        <w:tblW w:type="auto" w:w="0"/>
        <w:tblLook w:firstColumn="1" w:firstRow="1" w:lastColumn="0" w:lastRow="0" w:noHBand="0" w:noVBand="1" w:val="04A0"/>
      </w:tblPr>
      <w:tblGrid>
        <w:gridCol w:w="4320"/>
        <w:gridCol w:w="4320"/>
      </w:tblGrid>
      <w:tr>
        <w:tc>
          <w:tcPr>
            <w:tcW w:type="dxa" w:w="0"/>
          </w:tcPr>
          <w:p>
            <w:r>
              <w:t>Review dimension</w:t>
            </w:r>
          </w:p>
        </w:tc>
        <w:tc>
          <w:tcPr>
            <w:tcW w:type="dxa" w:w="0"/>
          </w:tcPr>
          <w:p>
            <w:r>
              <w:t>Questions the chair should ask</w:t>
            </w:r>
          </w:p>
        </w:tc>
      </w:tr>
      <w:tr>
        <w:tc>
          <w:tcPr>
            <w:tcW w:type="dxa" w:w="0"/>
          </w:tcPr>
          <w:p>
            <w:r>
              <w:t>Suitability</w:t>
            </w:r>
          </w:p>
        </w:tc>
        <w:tc>
          <w:tcPr>
            <w:tcW w:type="dxa" w:w="0"/>
          </w:tcPr>
          <w:p>
            <w:r>
              <w:t>Does the system still fit? After changes in internal/external factors, scope and workload, do the policy, objectives and documents still match?</w:t>
            </w:r>
          </w:p>
        </w:tc>
      </w:tr>
      <w:tr>
        <w:tc>
          <w:tcPr>
            <w:tcW w:type="dxa" w:w="0"/>
          </w:tcPr>
          <w:p>
            <w:r>
              <w:t>Adequacy</w:t>
            </w:r>
          </w:p>
        </w:tc>
        <w:tc>
          <w:tcPr>
            <w:tcW w:type="dxa" w:w="0"/>
          </w:tcPr>
          <w:p>
            <w:r>
              <w:t>Are any elements missing? Are new businesses / new regulations covered by the system? Are resources sufficient?</w:t>
            </w:r>
          </w:p>
        </w:tc>
      </w:tr>
      <w:tr>
        <w:tc>
          <w:tcPr>
            <w:tcW w:type="dxa" w:w="0"/>
          </w:tcPr>
          <w:p>
            <w:r>
              <w:t>Effectiveness</w:t>
            </w:r>
          </w:p>
        </w:tc>
        <w:tc>
          <w:tcPr>
            <w:tcW w:type="dxa" w:w="0"/>
          </w:tcPr>
          <w:p>
            <w:r>
              <w:t>Were the objectives met? Is result validity evidenced? Were last year's decisions implemented? Are improvements effective?</w:t>
            </w:r>
          </w:p>
        </w:tc>
      </w:tr>
      <w:tr>
        <w:tc>
          <w:tcPr>
            <w:tcW w:type="dxa" w:w="0"/>
          </w:tcPr>
          <w:p>
            <w:r>
              <w:t>Consistency</w:t>
            </w:r>
          </w:p>
        </w:tc>
        <w:tc>
          <w:tcPr>
            <w:tcW w:type="dxa" w:w="0"/>
          </w:tcPr>
          <w:p>
            <w:r>
              <w:t>Are the review conclusions consistent with the quality policy, accreditation requirements and customer expectations?</w:t>
            </w:r>
          </w:p>
        </w:tc>
      </w:tr>
    </w:tbl>
    <w:p>
      <w:r>
        <w:t xml:space="preserve"> </w:t>
      </w:r>
    </w:p>
    <w:p>
      <w:r>
        <w:t xml:space="preserve"> </w:t>
      </w:r>
    </w:p>
    <w:p>
      <w:r>
        <w:t xml:space="preserve"> </w:t>
      </w:r>
    </w:p>
    <w:p>
      <w:r>
        <w:t xml:space="preserve"> </w:t>
      </w:r>
    </w:p>
    <w:p>
      <w:r>
        <w:t xml:space="preserve"> 5.5 Outputs (§8.9.3 a)–d), 4 items)</w:t>
      </w:r>
    </w:p>
    <w:p>
      <w:pPr>
        <w:pStyle w:val="Heading3"/>
      </w:pPr>
    </w:p>
    <w:p>
      <w:r>
        <w:t xml:space="preserve">After the review, the Quality Manager drafts the </w:t>
      </w:r>
      <w:r>
        <w:rPr>
          <w:i/>
        </w:rPr>
        <w:t>Management Review Report</w:t>
      </w:r>
      <w:r>
        <w:t xml:space="preserve"> (MR-05) from the minutes. The outputs must record decisions and measures related to:</w:t>
      </w:r>
    </w:p>
    <w:tbl>
      <w:tblPr>
        <w:tblW w:type="auto" w:w="0"/>
        <w:tblLook w:firstColumn="1" w:firstRow="1" w:lastColumn="0" w:lastRow="0" w:noHBand="0" w:noVBand="1" w:val="04A0"/>
      </w:tblPr>
      <w:tblGrid>
        <w:gridCol w:w="2880"/>
        <w:gridCol w:w="2880"/>
        <w:gridCol w:w="2880"/>
      </w:tblGrid>
      <w:tr>
        <w:tc>
          <w:tcPr>
            <w:tcW w:type="dxa" w:w="0"/>
          </w:tcPr>
          <w:p>
            <w:r>
              <w:t>Item</w:t>
            </w:r>
          </w:p>
        </w:tc>
        <w:tc>
          <w:tcPr>
            <w:tcW w:type="dxa" w:w="0"/>
          </w:tcPr>
          <w:p>
            <w:r>
              <w:t>§8.9.3 output</w:t>
            </w:r>
          </w:p>
        </w:tc>
        <w:tc>
          <w:tcPr>
            <w:tcW w:type="dxa" w:w="0"/>
          </w:tcPr>
          <w:p>
            <w:r>
              <w:t>What the report should reflect</w:t>
            </w:r>
          </w:p>
        </w:tc>
      </w:tr>
      <w:tr>
        <w:tc>
          <w:tcPr>
            <w:tcW w:type="dxa" w:w="0"/>
          </w:tcPr>
          <w:p>
            <w:r>
              <w:t>a</w:t>
            </w:r>
          </w:p>
        </w:tc>
        <w:tc>
          <w:tcPr>
            <w:tcW w:type="dxa" w:w="0"/>
          </w:tcPr>
          <w:p>
            <w:r>
              <w:t>Effectiveness of the management system and its processes</w:t>
            </w:r>
          </w:p>
        </w:tc>
        <w:tc>
          <w:tcPr>
            <w:tcW w:type="dxa" w:w="0"/>
          </w:tcPr>
          <w:p>
            <w:r>
              <w:t>Conclusion on overall system effectiveness (including suitability/adequacy/effectiveness judgement)</w:t>
            </w:r>
          </w:p>
        </w:tc>
      </w:tr>
      <w:tr>
        <w:tc>
          <w:tcPr>
            <w:tcW w:type="dxa" w:w="0"/>
          </w:tcPr>
          <w:p>
            <w:r>
              <w:t>b</w:t>
            </w:r>
          </w:p>
        </w:tc>
        <w:tc>
          <w:tcPr>
            <w:tcW w:type="dxa" w:w="0"/>
          </w:tcPr>
          <w:p>
            <w:r>
              <w:t>Improvement of laboratory activities related to meeting this standard</w:t>
            </w:r>
          </w:p>
        </w:tc>
        <w:tc>
          <w:tcPr>
            <w:tcW w:type="dxa" w:w="0"/>
          </w:tcPr>
          <w:p>
            <w:r>
              <w:t>Specific improvements (methods / reports / QC / internal audit, etc.) and responsibilities</w:t>
            </w:r>
          </w:p>
        </w:tc>
      </w:tr>
      <w:tr>
        <w:tc>
          <w:tcPr>
            <w:tcW w:type="dxa" w:w="0"/>
          </w:tcPr>
          <w:p>
            <w:r>
              <w:t>c</w:t>
            </w:r>
          </w:p>
        </w:tc>
        <w:tc>
          <w:tcPr>
            <w:tcW w:type="dxa" w:w="0"/>
          </w:tcPr>
          <w:p>
            <w:r>
              <w:t>Provision of resources needed</w:t>
            </w:r>
          </w:p>
        </w:tc>
        <w:tc>
          <w:tcPr>
            <w:tcW w:type="dxa" w:w="0"/>
          </w:tcPr>
          <w:p>
            <w:r>
              <w:t>Personnel, premises, equipment, training, funds to be added</w:t>
            </w:r>
          </w:p>
        </w:tc>
      </w:tr>
      <w:tr>
        <w:tc>
          <w:tcPr>
            <w:tcW w:type="dxa" w:w="0"/>
          </w:tcPr>
          <w:p>
            <w:r>
              <w:t>d</w:t>
            </w:r>
          </w:p>
        </w:tc>
        <w:tc>
          <w:tcPr>
            <w:tcW w:type="dxa" w:w="0"/>
          </w:tcPr>
          <w:p>
            <w:r>
              <w:t>Changes needed</w:t>
            </w:r>
          </w:p>
        </w:tc>
        <w:tc>
          <w:tcPr>
            <w:tcW w:type="dxa" w:w="0"/>
          </w:tcPr>
          <w:p>
            <w:r>
              <w:t>Decisions on system documents, responsibilities, scope, policy and objectives</w:t>
            </w:r>
          </w:p>
        </w:tc>
      </w:tr>
    </w:tbl>
    <w:p>
      <w:r>
        <w:t xml:space="preserve"> </w:t>
      </w:r>
    </w:p>
    <w:p>
      <w:r>
        <w:t xml:space="preserve"> </w:t>
      </w:r>
    </w:p>
    <w:p>
      <w:r>
        <w:t xml:space="preserve"> </w:t>
      </w:r>
    </w:p>
    <w:p>
      <w:r>
        <w:t xml:space="preserve"> </w:t>
      </w:r>
    </w:p>
    <w:p>
      <w:r>
        <w:t xml:space="preserve"> </w:t>
      </w:r>
      <w:r>
        <w:rPr>
          <w:b/>
        </w:rPr>
        <w:t>Output rule:</w:t>
      </w:r>
      <w:r>
        <w:t xml:space="preserve"> every output must be an “executable decision + owner + completion deadline”; expressions such as “strengthen management” that cannot be verified are prohibited. All decisions are entered into MR-06 for tracking. 5.6 Decision Tracking and Closure</w:t>
      </w:r>
    </w:p>
    <w:p>
      <w:pPr>
        <w:pStyle w:val="Heading3"/>
      </w:pPr>
    </w:p>
    <w:p>
      <w:r>
        <w:t xml:space="preserve">① The Quality Manager transfers all decisions in MR-05 to the </w:t>
      </w:r>
      <w:r>
        <w:rPr>
          <w:i/>
        </w:rPr>
        <w:t>Management Review Decision Tracker</w:t>
      </w:r>
      <w:r>
        <w:t xml:space="preserve"> (MR-06) with owner, deadline and verification method.</w:t>
      </w:r>
    </w:p>
    <w:p>
      <w:r>
        <w:t>② Decision completion is verified as input d) at the next review; overdue items without a reasonable explanation are escalated to top management.</w:t>
      </w:r>
    </w:p>
    <w:p>
      <w:r>
        <w:t>③ System document changes arising from the review are revised, approved, issued and withdrawn per the Document Control Procedure.</w:t>
      </w:r>
    </w:p>
    <w:p>
      <w:pPr>
        <w:pStyle w:val="Heading3"/>
      </w:pPr>
      <w:r>
        <w:t>5.7 Records and Archiving</w:t>
      </w:r>
    </w:p>
    <w:p>
      <w:r>
        <w:t>The review generates the following records, retained for no less than one accreditation cycle (typically 6 years, or per customer/regulatory requirements): MR-01 plan, MR-02 notice, MR-03 inputs, MR-04 minutes, MR-05 report, MR-06 tracker, MR-07 calendar, and the original evidence for the inputs. The Quality Manager archives them as evidence for external assessments (§8.9.2 g)) and for system effectiveness.</w:t>
      </w:r>
    </w:p>
    <w:p>
      <w:pPr>
        <w:pStyle w:val="Heading3"/>
      </w:pPr>
      <w:r>
        <w:t>5.8 Interfaces with Other Processes</w:t>
      </w:r>
    </w:p>
    <w:tbl>
      <w:tblPr>
        <w:tblW w:type="auto" w:w="0"/>
        <w:tblLook w:firstColumn="1" w:firstRow="1" w:lastColumn="0" w:lastRow="0" w:noHBand="0" w:noVBand="1" w:val="04A0"/>
      </w:tblPr>
      <w:tblGrid>
        <w:gridCol w:w="4320"/>
        <w:gridCol w:w="4320"/>
      </w:tblGrid>
      <w:tr>
        <w:tc>
          <w:tcPr>
            <w:tcW w:type="dxa" w:w="0"/>
          </w:tcPr>
          <w:p>
            <w:r>
              <w:t>Related process</w:t>
            </w:r>
          </w:p>
        </w:tc>
        <w:tc>
          <w:tcPr>
            <w:tcW w:type="dxa" w:w="0"/>
          </w:tcPr>
          <w:p>
            <w:r>
              <w:t>Interface</w:t>
            </w:r>
          </w:p>
        </w:tc>
      </w:tr>
      <w:tr>
        <w:tc>
          <w:tcPr>
            <w:tcW w:type="dxa" w:w="0"/>
          </w:tcPr>
          <w:p>
            <w:r>
              <w:t>Internal audit (LP-02)</w:t>
            </w:r>
          </w:p>
        </w:tc>
        <w:tc>
          <w:tcPr>
            <w:tcW w:type="dxa" w:w="0"/>
          </w:tcPr>
          <w:p>
            <w:r>
              <w:t>Audit report (FR-25) and trend (IA-05) are review input e)</w:t>
            </w:r>
          </w:p>
        </w:tc>
      </w:tr>
      <w:tr>
        <w:tc>
          <w:tcPr>
            <w:tcW w:type="dxa" w:w="0"/>
          </w:tcPr>
          <w:p>
            <w:r>
              <w:t>Corrective action (§8.7)</w:t>
            </w:r>
          </w:p>
        </w:tc>
        <w:tc>
          <w:tcPr>
            <w:tcW w:type="dxa" w:w="0"/>
          </w:tcPr>
          <w:p>
            <w:r>
              <w:t>Nonconformity closure is review input f); decisions may trigger new corrective actions</w:t>
            </w:r>
          </w:p>
        </w:tc>
      </w:tr>
      <w:tr>
        <w:tc>
          <w:tcPr>
            <w:tcW w:type="dxa" w:w="0"/>
          </w:tcPr>
          <w:p>
            <w:r>
              <w:t>Risk and opportunity (§8.5)</w:t>
            </w:r>
          </w:p>
        </w:tc>
        <w:tc>
          <w:tcPr>
            <w:tcW w:type="dxa" w:w="0"/>
          </w:tcPr>
          <w:p>
            <w:r>
              <w:t>Risk identification results are review input m); decisions may update the risk register</w:t>
            </w:r>
          </w:p>
        </w:tc>
      </w:tr>
      <w:tr>
        <w:tc>
          <w:tcPr>
            <w:tcW w:type="dxa" w:w="0"/>
          </w:tcPr>
          <w:p>
            <w:r>
              <w:t>Improvement (§8.6)</w:t>
            </w:r>
          </w:p>
        </w:tc>
        <w:tc>
          <w:tcPr>
            <w:tcW w:type="dxa" w:w="0"/>
          </w:tcPr>
          <w:p>
            <w:r>
              <w:t>Effectiveness of implemented improvements is review input k)</w:t>
            </w:r>
          </w:p>
        </w:tc>
      </w:tr>
      <w:tr>
        <w:tc>
          <w:tcPr>
            <w:tcW w:type="dxa" w:w="0"/>
          </w:tcPr>
          <w:p>
            <w:r>
              <w:t>Objective management</w:t>
            </w:r>
          </w:p>
        </w:tc>
        <w:tc>
          <w:tcPr>
            <w:tcW w:type="dxa" w:w="0"/>
          </w:tcPr>
          <w:p>
            <w:r>
              <w:t>Objective attainment is review input b); next year's objectives are set by review outputs</w:t>
            </w:r>
          </w:p>
        </w:tc>
      </w:tr>
    </w:tbl>
    <w:p>
      <w:r>
        <w:t xml:space="preserve"> </w:t>
      </w:r>
    </w:p>
    <w:p>
      <w:r>
        <w:t xml:space="preserve"> </w:t>
      </w:r>
    </w:p>
    <w:p>
      <w:r>
        <w:t xml:space="preserve"> </w:t>
      </w:r>
    </w:p>
    <w:p>
      <w:r>
        <w:t xml:space="preserve"> </w:t>
      </w:r>
    </w:p>
    <w:p>
      <w:r>
        <w:t xml:space="preserve"> </w:t>
      </w:r>
    </w:p>
    <w:p>
      <w:r>
        <w:t xml:space="preserve"> 5.9 Depth Requirements for Each Input (with examples, avoiding “empty inputs”)</w:t>
      </w:r>
    </w:p>
    <w:p>
      <w:pPr>
        <w:pStyle w:val="Heading3"/>
      </w:pPr>
    </w:p>
    <w:p>
      <w:r>
        <w:t>The following depth requirements and examples guide departments when filling in MR-03. Core principle: every input must answer “what is the current state (data) + where is the evidence (reference) + what it means for the system (conclusion)”. Minimum depth per item:</w:t>
      </w:r>
    </w:p>
    <w:tbl>
      <w:tblPr>
        <w:tblW w:type="auto" w:w="0"/>
        <w:tblLook w:firstColumn="1" w:firstRow="1" w:lastColumn="0" w:lastRow="0" w:noHBand="0" w:noVBand="1" w:val="04A0"/>
      </w:tblPr>
      <w:tblGrid>
        <w:gridCol w:w="2880"/>
        <w:gridCol w:w="2880"/>
        <w:gridCol w:w="2880"/>
      </w:tblGrid>
      <w:tr>
        <w:tc>
          <w:tcPr>
            <w:tcW w:type="dxa" w:w="0"/>
          </w:tcPr>
          <w:p>
            <w:r>
              <w:t>Item</w:t>
            </w:r>
          </w:p>
        </w:tc>
        <w:tc>
          <w:tcPr>
            <w:tcW w:type="dxa" w:w="0"/>
          </w:tcPr>
          <w:p>
            <w:r>
              <w:t>Depth requirement</w:t>
            </w:r>
          </w:p>
        </w:tc>
        <w:tc>
          <w:tcPr>
            <w:tcW w:type="dxa" w:w="0"/>
          </w:tcPr>
          <w:p>
            <w:r>
              <w:t>Qualifying example</w:t>
            </w:r>
          </w:p>
        </w:tc>
      </w:tr>
      <w:tr>
        <w:tc>
          <w:tcPr>
            <w:tcW w:type="dxa" w:w="0"/>
          </w:tcPr>
          <w:p>
            <w:r>
              <w:t>a</w:t>
            </w:r>
          </w:p>
        </w:tc>
        <w:tc>
          <w:tcPr>
            <w:tcW w:type="dxa" w:w="0"/>
          </w:tcPr>
          <w:p>
            <w:r>
              <w:t>List the internal and external changes actually occurring this year and state whether the system has responded</w:t>
            </w:r>
          </w:p>
        </w:tc>
        <w:tc>
          <w:tcPr>
            <w:tcW w:type="dxa" w:w="0"/>
          </w:tcPr>
          <w:p>
            <w:r>
              <w:t>“New supporting documents for the accreditation criteria were released in April; this triggered 2 procedure revisions (see item c); on the market side, 6 new customers added new-energy testing demand”</w:t>
            </w:r>
          </w:p>
        </w:tc>
      </w:tr>
      <w:tr>
        <w:tc>
          <w:tcPr>
            <w:tcW w:type="dxa" w:w="0"/>
          </w:tcPr>
          <w:p>
            <w:r>
              <w:t>b</w:t>
            </w:r>
          </w:p>
        </w:tc>
        <w:tc>
          <w:tcPr>
            <w:tcW w:type="dxa" w:w="0"/>
          </w:tcPr>
          <w:p>
            <w:r>
              <w:t>Give attainment rate per objective; unmet objectives must state the gap and reasons</w:t>
            </w:r>
          </w:p>
        </w:tc>
        <w:tc>
          <w:tcPr>
            <w:tcW w:type="dxa" w:w="0"/>
          </w:tcPr>
          <w:p>
            <w:r>
              <w:t>“5 of 6 annual objectives met; report on-time rate 92.3% vs. target 95%, mainly due to review backlog from scope extension, listed as issue T1”</w:t>
            </w:r>
          </w:p>
        </w:tc>
      </w:tr>
      <w:tr>
        <w:tc>
          <w:tcPr>
            <w:tcW w:type="dxa" w:w="0"/>
          </w:tcPr>
          <w:p>
            <w:r>
              <w:t>c</w:t>
            </w:r>
          </w:p>
        </w:tc>
        <w:tc>
          <w:tcPr>
            <w:tcW w:type="dxa" w:w="0"/>
          </w:tcPr>
          <w:p>
            <w:r>
              <w:t>Give total current documents, revisions during the year, and whether any “systems not implemented” exist</w:t>
            </w:r>
          </w:p>
        </w:tc>
        <w:tc>
          <w:tcPr>
            <w:tcW w:type="dxa" w:w="0"/>
          </w:tcPr>
          <w:p>
            <w:r>
              <w:t>“28 controlled documents; 4 revised and 2 added this year; 3 sampled can all be provided on site in valid revisions; no appropriateness problem”</w:t>
            </w:r>
          </w:p>
        </w:tc>
      </w:tr>
      <w:tr>
        <w:tc>
          <w:tcPr>
            <w:tcW w:type="dxa" w:w="0"/>
          </w:tcPr>
          <w:p>
            <w:r>
              <w:t>d</w:t>
            </w:r>
          </w:p>
        </w:tc>
        <w:tc>
          <w:tcPr>
            <w:tcW w:type="dxa" w:w="0"/>
          </w:tcPr>
          <w:p>
            <w:r>
              <w:t>Check each previous decision's completion status; explain reasons and plans for incomplete ones</w:t>
            </w:r>
          </w:p>
        </w:tc>
        <w:tc>
          <w:tcPr>
            <w:tcW w:type="dxa" w:w="0"/>
          </w:tcPr>
          <w:p>
            <w:r>
              <w:t>“11 of 12 decisions completed; 1 (LIMS launch) delayed to Q2 this year, reasons at T2”</w:t>
            </w:r>
          </w:p>
        </w:tc>
      </w:tr>
      <w:tr>
        <w:tc>
          <w:tcPr>
            <w:tcW w:type="dxa" w:w="0"/>
          </w:tcPr>
          <w:p>
            <w:r>
              <w:t>e</w:t>
            </w:r>
          </w:p>
        </w:tc>
        <w:tc>
          <w:tcPr>
            <w:tcW w:type="dxa" w:w="0"/>
          </w:tcPr>
          <w:p>
            <w:r>
              <w:t>Cite the audit report number and the system conformity/effectiveness conclusion</w:t>
            </w:r>
          </w:p>
        </w:tc>
        <w:tc>
          <w:tcPr>
            <w:tcW w:type="dxa" w:w="0"/>
          </w:tcPr>
          <w:p>
            <w:r>
              <w:t>“FR-25 conclusion: 5 NCs all minor; system conforms and is effective; see IA-05 trend”</w:t>
            </w:r>
          </w:p>
        </w:tc>
      </w:tr>
      <w:tr>
        <w:tc>
          <w:tcPr>
            <w:tcW w:type="dxa" w:w="0"/>
          </w:tcPr>
          <w:p>
            <w:r>
              <w:t>f</w:t>
            </w:r>
          </w:p>
        </w:tc>
        <w:tc>
          <w:tcPr>
            <w:tcW w:type="dxa" w:w="0"/>
          </w:tcPr>
          <w:p>
            <w:r>
              <w:t>Give annual NC count, closure rate and recurrence</w:t>
            </w:r>
          </w:p>
        </w:tc>
        <w:tc>
          <w:tcPr>
            <w:tcW w:type="dxa" w:w="0"/>
          </w:tcPr>
          <w:p>
            <w:r>
              <w:t>“14 NCs raised, 13 closed (93%), 1 carried over; the same equipment-identification issue recurred in 2 departments, escalated for root-cause analysis”</w:t>
            </w:r>
          </w:p>
        </w:tc>
      </w:tr>
      <w:tr>
        <w:tc>
          <w:tcPr>
            <w:tcW w:type="dxa" w:w="0"/>
          </w:tcPr>
          <w:p>
            <w:r>
              <w:t>g</w:t>
            </w:r>
          </w:p>
        </w:tc>
        <w:tc>
          <w:tcPr>
            <w:tcW w:type="dxa" w:w="0"/>
          </w:tcPr>
          <w:p>
            <w:r>
              <w:t>External assessment findings (incl. observations) and correction closure</w:t>
            </w:r>
          </w:p>
        </w:tc>
        <w:tc>
          <w:tcPr>
            <w:tcW w:type="dxa" w:w="0"/>
          </w:tcPr>
          <w:p>
            <w:r>
              <w:t>“1 accreditation surveillance assessment; 2 observations (both minor), closed within 60 days”</w:t>
            </w:r>
          </w:p>
        </w:tc>
      </w:tr>
      <w:tr>
        <w:tc>
          <w:tcPr>
            <w:tcW w:type="dxa" w:w="0"/>
          </w:tcPr>
          <w:p>
            <w:r>
              <w:t>h</w:t>
            </w:r>
          </w:p>
        </w:tc>
        <w:tc>
          <w:tcPr>
            <w:tcW w:type="dxa" w:w="0"/>
          </w:tcPr>
          <w:p>
            <w:r>
              <w:t>Use workload data to describe scope/workload changes</w:t>
            </w:r>
          </w:p>
        </w:tc>
        <w:tc>
          <w:tcPr>
            <w:tcW w:type="dxa" w:w="0"/>
          </w:tcPr>
          <w:p>
            <w:r>
              <w:t>“Testing orders up 18.2% yoy; 12 new environmental parameters; existing staff cover the capability but peak periods are saturated”</w:t>
            </w:r>
          </w:p>
        </w:tc>
      </w:tr>
      <w:tr>
        <w:tc>
          <w:tcPr>
            <w:tcW w:type="dxa" w:w="0"/>
          </w:tcPr>
          <w:p>
            <w:r>
              <w:t>i</w:t>
            </w:r>
          </w:p>
        </w:tc>
        <w:tc>
          <w:tcPr>
            <w:tcW w:type="dxa" w:w="0"/>
          </w:tcPr>
          <w:p>
            <w:r>
              <w:t>Quantify satisfaction scores and employee suggestion adoption</w:t>
            </w:r>
          </w:p>
        </w:tc>
        <w:tc>
          <w:tcPr>
            <w:tcW w:type="dxa" w:w="0"/>
          </w:tcPr>
          <w:p>
            <w:r>
              <w:t>“Customer satisfaction 94.1 (vs. 91.3 last year); 8 employee suggestions: 5 adopted, 3 forwarded to R&amp;D”</w:t>
            </w:r>
          </w:p>
        </w:tc>
      </w:tr>
      <w:tr>
        <w:tc>
          <w:tcPr>
            <w:tcW w:type="dxa" w:w="0"/>
          </w:tcPr>
          <w:p>
            <w:r>
              <w:t>j</w:t>
            </w:r>
          </w:p>
        </w:tc>
        <w:tc>
          <w:tcPr>
            <w:tcW w:type="dxa" w:w="0"/>
          </w:tcPr>
          <w:p>
            <w:r>
              <w:t>Complaint count, on-time closure rate and recurrence</w:t>
            </w:r>
          </w:p>
        </w:tc>
        <w:tc>
          <w:tcPr>
            <w:tcW w:type="dxa" w:w="0"/>
          </w:tcPr>
          <w:p>
            <w:r>
              <w:t>“3 complaints (all report-format); 3 closed on time; no repeat complaint from the same customer”</w:t>
            </w:r>
          </w:p>
        </w:tc>
      </w:tr>
      <w:tr>
        <w:tc>
          <w:tcPr>
            <w:tcW w:type="dxa" w:w="0"/>
          </w:tcPr>
          <w:p>
            <w:r>
              <w:t>k</w:t>
            </w:r>
          </w:p>
        </w:tc>
        <w:tc>
          <w:tcPr>
            <w:tcW w:type="dxa" w:w="0"/>
          </w:tcPr>
          <w:p>
            <w:r>
              <w:t>Quantifiable effect of implemented improvements</w:t>
            </w:r>
          </w:p>
        </w:tc>
        <w:tc>
          <w:tcPr>
            <w:tcW w:type="dxa" w:w="0"/>
          </w:tcPr>
          <w:p>
            <w:r>
              <w:t>“After introducing report double-review, the report error rate fell from 0.7% to 0.4% — effective”</w:t>
            </w:r>
          </w:p>
        </w:tc>
      </w:tr>
      <w:tr>
        <w:tc>
          <w:tcPr>
            <w:tcW w:type="dxa" w:w="0"/>
          </w:tcPr>
          <w:p>
            <w:r>
              <w:t>l</w:t>
            </w:r>
          </w:p>
        </w:tc>
        <w:tc>
          <w:tcPr>
            <w:tcW w:type="dxa" w:w="0"/>
          </w:tcPr>
          <w:p>
            <w:r>
              <w:t>Specific gaps in personnel/equipment/premises/technical resources</w:t>
            </w:r>
          </w:p>
        </w:tc>
        <w:tc>
          <w:tcPr>
            <w:tcW w:type="dxa" w:w="0"/>
          </w:tcPr>
          <w:p>
            <w:r>
              <w:t>“Average utilisation of key equipment 85%; gas chromatograph queued over 3 days in March and November; recommend adding 1 unit”</w:t>
            </w:r>
          </w:p>
        </w:tc>
      </w:tr>
      <w:tr>
        <w:tc>
          <w:tcPr>
            <w:tcW w:type="dxa" w:w="0"/>
          </w:tcPr>
          <w:p>
            <w:r>
              <w:t>m</w:t>
            </w:r>
          </w:p>
        </w:tc>
        <w:tc>
          <w:tcPr>
            <w:tcW w:type="dxa" w:w="0"/>
          </w:tcPr>
          <w:p>
            <w:r>
              <w:t>Risk register count, high/medium/low distribution and countermeasures</w:t>
            </w:r>
          </w:p>
        </w:tc>
        <w:tc>
          <w:tcPr>
            <w:tcW w:type="dxa" w:w="0"/>
          </w:tcPr>
          <w:p>
            <w:r>
              <w:t>“16 risks identified (2 high / 5 medium / 9 low); the high risk of staff attrition has a backup mechanism”</w:t>
            </w:r>
          </w:p>
        </w:tc>
      </w:tr>
      <w:tr>
        <w:tc>
          <w:tcPr>
            <w:tcW w:type="dxa" w:w="0"/>
          </w:tcPr>
          <w:p>
            <w:r>
              <w:t>n</w:t>
            </w:r>
          </w:p>
        </w:tc>
        <w:tc>
          <w:tcPr>
            <w:tcW w:type="dxa" w:w="0"/>
          </w:tcPr>
          <w:p>
            <w:r>
              <w:t>PT satisfaction rate, QC in-control rate, intermediate check completion rate</w:t>
            </w:r>
          </w:p>
        </w:tc>
        <w:tc>
          <w:tcPr>
            <w:tcW w:type="dxa" w:w="0"/>
          </w:tcPr>
          <w:p>
            <w:r>
              <w:t>“PT satisfaction 100% in 8 rounds; internal QC in-control 98%; intermediate check completion 100%”</w:t>
            </w:r>
          </w:p>
        </w:tc>
      </w:tr>
      <w:tr>
        <w:tc>
          <w:tcPr>
            <w:tcW w:type="dxa" w:w="0"/>
          </w:tcPr>
          <w:p>
            <w:r>
              <w:t>o</w:t>
            </w:r>
          </w:p>
        </w:tc>
        <w:tc>
          <w:tcPr>
            <w:tcW w:type="dxa" w:w="0"/>
          </w:tcPr>
          <w:p>
            <w:r>
              <w:t>Monitoring alert handling, training completion rate</w:t>
            </w:r>
          </w:p>
        </w:tc>
        <w:tc>
          <w:tcPr>
            <w:tcW w:type="dxa" w:w="0"/>
          </w:tcPr>
          <w:p>
            <w:r>
              <w:t>“2 environmental monitoring alerts both handled on time; annual training completion 96%; 1 external training deferred to Q1”</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5.10 Common Traps in Chaining and Deciding</w:t>
      </w:r>
    </w:p>
    <w:p>
      <w:pPr>
        <w:pStyle w:val="Heading3"/>
      </w:pPr>
    </w:p>
    <w:p>
      <w:r>
        <w:t xml:space="preserve">① </w:t>
      </w:r>
      <w:r>
        <w:rPr>
          <w:b/>
        </w:rPr>
        <w:t>Becoming a briefing session</w:t>
      </w:r>
      <w:r>
        <w:t xml:space="preserve">: reading each department's material without any decision. Fix: prepare the “issues to be decided” list (MR-02 §4) and decide only on those. ② </w:t>
      </w:r>
      <w:r>
        <w:rPr>
          <w:b/>
        </w:rPr>
        <w:t>Decisions that cannot be verified</w:t>
      </w:r>
      <w:r>
        <w:t xml:space="preserve">: outputs written as “continuous improvement” or “strengthen management”. Fix: each output must have the four elements “decision + owner + deadline + acceptance criteria” (see MR-05). ③ </w:t>
      </w:r>
      <w:r>
        <w:rPr>
          <w:b/>
        </w:rPr>
        <w:t>Inputs without data</w:t>
      </w:r>
      <w:r>
        <w:t xml:space="preserve">: an item written only as “normal”. Fix: pre-review 5 working days before, return for correction, never hold the meeting with blank items. ④ </w:t>
      </w:r>
      <w:r>
        <w:rPr>
          <w:b/>
        </w:rPr>
        <w:t>Decisions not tracked</w:t>
      </w:r>
      <w:r>
        <w:t xml:space="preserve">: nobody follows up; next year's item d still says “in continuous progress”. Fix: transfer all to MR-06 within 3 days of issuing MR-05; check monthly; verify at closure. ⑤ </w:t>
      </w:r>
      <w:r>
        <w:rPr>
          <w:b/>
        </w:rPr>
        <w:t>Missing records</w:t>
      </w:r>
      <w:r>
        <w:t>: no attendance, no minutes. Fix: MR-04 must have an attendance page and item-by-item decisions, retained as the “management review records” required by the standard.</w:t>
      </w:r>
    </w:p>
    <w:p>
      <w:pPr>
        <w:pStyle w:val="Heading3"/>
      </w:pPr>
      <w:r>
        <w:t>5.11 Triggers and Timing of Additional Reviews</w:t>
      </w:r>
    </w:p>
    <w:p>
      <w:r>
        <w:t xml:space="preserve">When a major change described in §5.1 occurs (major scope extension/reduction, organisational or legal-entity change, major nonconformity in external assessment, major complaint or result-validity incident, major resource change), top management shall decide and organise an additional review </w:t>
      </w:r>
      <w:r>
        <w:rPr>
          <w:b/>
        </w:rPr>
        <w:t>within 1 month</w:t>
      </w:r>
      <w:r>
        <w:t xml:space="preserve"> of the change, regardless of the 12-month interval. The additional review may narrow its scope (assessing only affected elements), but its outputs must still be entered into MR-06 and serve as input d) of the next routine review. An additional review does not replace the annual routine review, and the records of the two are retained with separate retention periods.</w:t>
      </w:r>
    </w:p>
    <w:p>
      <w:pPr>
        <w:pStyle w:val="Heading3"/>
      </w:pPr>
      <w:r>
        <w:t>5.12 Internal Drivers and Value of the Management Review</w:t>
      </w:r>
    </w:p>
    <w:p>
      <w:r>
        <w:t>Many laboratories treat the management review as a formalistic meeting to “satisfy accreditation”. This seriously underestimates its value. Its true value: it is the only mechanism where the laboratory's top level systematically “reviews the past and plans the future”, concentrating the operational evidence scattered across departments into one room where top management decides resources and changes on the spot, preventing problems from idling between departmental walls.</w:t>
      </w:r>
    </w:p>
    <w:p>
      <w:r>
        <w:t>To make it work, the Quality Manager typically faces three kinds of resistance. The first is “no time to meet”: compress the meeting to half a day, decide only, and have informational material pre-circulated for self-study. The second is “don't know what to review”: strictly collect the 15 inputs item by item with MR-03 — with data on every item, the meeting naturally has content. The third is “no use holding it”: the root cause is usually untracked decisions; connect all outputs to MR-06, check monthly and verify at closure, so the review genuinely changes resource allocation and the document system.</w:t>
      </w:r>
    </w:p>
    <w:p>
      <w:r>
        <w:t>From the assessor's perspective, the management review is a mandatory inspection focus. Assessors typically chase three lines: ① do the inputs cover all 15 items with evidence; ② do the outputs contain verifiable decisions with owners; ③ are decisions genuinely closed, confirmed in next year's inputs. The MR-03 / MR-05 / MR-06 trio in this pack is designed for exactly these three lines; following it significantly reduces the probability of observations.</w:t>
      </w:r>
    </w:p>
    <w:p>
      <w:pPr>
        <w:pStyle w:val="Heading3"/>
      </w:pPr>
      <w:r>
        <w:t>5.13 Legal and Accreditation Effect of Review Records</w:t>
      </w:r>
    </w:p>
    <w:p>
      <w:r>
        <w:t>Management review records are not only an internal improvement tool — they are key evidence for externally demonstrating system effectiveness. In accreditation assessments, supervisory inspections, customer second-party audits and dispute handling, assessors will review the full set of management review records to judge whether top management genuinely discharges system-maintenance duties. Completeness, authenticity and traceability of the records are therefore critical.</w:t>
      </w:r>
    </w:p>
    <w:p>
      <w:r>
        <w:t>The evidentiary power rests on three pillars: process traces (from plan, inputs, meeting to report and tracking, each step signed and checkable); evidence traceability (every conclusion in the report maps to specific data and references in the inputs); verifiable closure (decisions form a complete chain from issue to closure, confirmed in the following year). Missing any link sharply weakens the probative value.</w:t>
      </w:r>
    </w:p>
    <w:p>
      <w:r>
        <w:t>The Quality Manager should treat the records as the laboratory's “annual health report”: accumulate operational data conscientiously, present it truthfully at the review, and track decisions resolutely afterwards. Then the review turns from a burden into an asset — passing external assessments while genuinely driving continuous improvement.</w:t>
      </w:r>
    </w:p>
    <w:p>
      <w:pPr>
        <w:pStyle w:val="Heading3"/>
      </w:pPr>
      <w:r>
        <w:t>5.14 Linking the Review to the Annual Improvement Plan</w:t>
      </w:r>
    </w:p>
    <w:p>
      <w:r>
        <w:t>The outputs should not end in a report that is archived and forgotten. The correct approach is to break the four outputs into executable annual tasks tracked by the Quality Manager day to day: resource decisions become procurement or hiring plans; change decisions become document revision tasks; improvement decisions become targeted projects. Only then does the review drive the system to spiral upward and benefit the credibility of every testing datum.</w:t>
      </w:r>
    </w:p>
    <w:p>
      <w:r>
        <w:t>Top management's involvement is indispensable in this link. The Quality Manager can organise, but resource investment and change decisions must be made and continuously followed by top management. It is recommended to make decision implementation a fixed item in the quarterly meeting, not a once-a-year review. With higher frequency, problems are found and corrected at an early stage instead of erupting at year-end.</w:t>
      </w:r>
    </w:p>
    <w:p>
      <w:r>
        <w:t>The review should also be scheduled in coordination with the internal audit plan: complete the audit first, then use its conclusions as review input, forming the closed rhythm of “internal audit finds problems → review decides resources → daily tracking delivers”. Too long an interval makes inputs stale; too short means audit corrections have not yet shown effect. A general recommendation: start the management review within one month after the internal audit — fresh evidence, plus a window to observe correction results. With coordinated scheduling, the whole system forms a self-improving long-term mechanism.</w:t>
      </w:r>
    </w:p>
    <w:p>
      <w:pPr>
        <w:pStyle w:val="Heading2"/>
      </w:pPr>
      <w:r>
        <w:t>6 Related Documents</w:t>
      </w:r>
    </w:p>
    <w:tbl>
      <w:tblPr>
        <w:tblW w:type="auto" w:w="0"/>
        <w:tblLook w:firstColumn="1" w:firstRow="1" w:lastColumn="0" w:lastRow="0" w:noHBand="0" w:noVBand="1" w:val="04A0"/>
      </w:tblPr>
      <w:tblGrid>
        <w:gridCol w:w="4320"/>
        <w:gridCol w:w="4320"/>
      </w:tblGrid>
      <w:tr>
        <w:tc>
          <w:tcPr>
            <w:tcW w:type="dxa" w:w="0"/>
          </w:tcPr>
          <w:p>
            <w:r>
              <w:t>Document</w:t>
            </w:r>
          </w:p>
        </w:tc>
        <w:tc>
          <w:tcPr>
            <w:tcW w:type="dxa" w:w="0"/>
          </w:tcPr>
          <w:p>
            <w:r>
              <w:t>Relationship</w:t>
            </w:r>
          </w:p>
        </w:tc>
      </w:tr>
      <w:tr>
        <w:tc>
          <w:tcPr>
            <w:tcW w:type="dxa" w:w="0"/>
          </w:tcPr>
          <w:p>
            <w:r>
              <w:t>LP-02 Internal Audit Procedure</w:t>
            </w:r>
          </w:p>
        </w:tc>
        <w:tc>
          <w:tcPr>
            <w:tcW w:type="dxa" w:w="0"/>
          </w:tcPr>
          <w:p>
            <w:r>
              <w:t>Provides the audit conclusions required for review input e)</w:t>
            </w:r>
          </w:p>
        </w:tc>
      </w:tr>
      <w:tr>
        <w:tc>
          <w:tcPr>
            <w:tcW w:type="dxa" w:w="0"/>
          </w:tcPr>
          <w:p>
            <w:r>
              <w:t>ISO/IEC 17025:2017 §8.9</w:t>
            </w:r>
          </w:p>
        </w:tc>
        <w:tc>
          <w:tcPr>
            <w:tcW w:type="dxa" w:w="0"/>
          </w:tcPr>
          <w:p>
            <w:r>
              <w:t>The core clause this procedure is based on</w:t>
            </w:r>
          </w:p>
        </w:tc>
      </w:tr>
      <w:tr>
        <w:tc>
          <w:tcPr>
            <w:tcW w:type="dxa" w:w="0"/>
          </w:tcPr>
          <w:p>
            <w:r>
              <w:t>Management Review Complete Pack (MR-00 – MR-07)</w:t>
            </w:r>
          </w:p>
        </w:tc>
        <w:tc>
          <w:tcPr>
            <w:tcW w:type="dxa" w:w="0"/>
          </w:tcPr>
          <w:p>
            <w:r>
              <w:t>Supporting records and forms of this procedure</w:t>
            </w:r>
          </w:p>
        </w:tc>
      </w:tr>
    </w:tbl>
    <w:p>
      <w:r>
        <w:t xml:space="preserve"> </w:t>
      </w:r>
    </w:p>
    <w:p>
      <w:r>
        <w:t xml:space="preserve"> </w:t>
      </w:r>
    </w:p>
    <w:p>
      <w:r>
        <w:t xml:space="preserve"> </w:t>
      </w:r>
    </w:p>
    <w:p>
      <w:r>
        <w:t xml:space="preserve"> 7 Records</w:t>
      </w:r>
    </w:p>
    <w:p>
      <w:pPr>
        <w:pStyle w:val="Heading2"/>
      </w:pPr>
    </w:p>
    <w:p>
      <w:r>
        <w:t>MR-01 Annual Management Review Plan, MR-02 Management Review Notice &amp; Implementation Plan, MR-03 Management Review Inputs, MR-04 Management Review Minutes (corresponds to FR-26/FR-43), MR-05 Management Review Report, MR-06 Management Review Decision Tracker, MR-07 Management Review Input Preparation Calendar.</w:t>
      </w:r>
    </w:p>
    <w:p>
      <w:pPr>
        <w:pStyle w:val="Heading2"/>
      </w:pPr>
      <w:r>
        <w:t>8 Appendix (Management Review Closure Flow)</w:t>
      </w:r>
    </w:p>
    <w:p>
      <w:r>
        <w:rPr>
          <w:b/>
        </w:rPr>
        <w:t>1 · Plan (MR-01)</w:t>
      </w:r>
      <w:r>
        <w:t xml:space="preserve"> every 12 months / trigger-based additional review</w:t>
        <w:br/>
        <w:t xml:space="preserve"> ↓</w:t>
        <w:br/>
        <w:t xml:space="preserve"> </w:t>
      </w:r>
      <w:r>
        <w:rPr>
          <w:b/>
        </w:rPr>
        <w:t>2 · Prepare inputs (MR-03 / MR-07)</w:t>
      </w:r>
      <w:r>
        <w:t xml:space="preserve"> collect evidence for the 15 items a)–o) one by one</w:t>
        <w:br/>
        <w:t xml:space="preserve"> ↓</w:t>
        <w:br/>
        <w:t xml:space="preserve"> </w:t>
      </w:r>
      <w:r>
        <w:rPr>
          <w:b/>
        </w:rPr>
        <w:t>3 · Issue notice (MR-02)</w:t>
      </w:r>
      <w:r>
        <w:t xml:space="preserve"> 10 working days ahead; pre-review the issues to be decided</w:t>
        <w:br/>
        <w:t xml:space="preserve"> ↓</w:t>
        <w:br/>
        <w:t xml:space="preserve"> </w:t>
      </w:r>
      <w:r>
        <w:rPr>
          <w:b/>
        </w:rPr>
        <w:t>4 · Conduct review (MR-04)</w:t>
      </w:r>
      <w:r>
        <w:t xml:space="preserve"> chaired by top management; four dimensions: suitability, adequacy, effectiveness, consistency</w:t>
        <w:br/>
        <w:t xml:space="preserve"> ↓</w:t>
        <w:br/>
        <w:t xml:space="preserve"> </w:t>
      </w:r>
      <w:r>
        <w:rPr>
          <w:b/>
        </w:rPr>
        <w:t>5 · Form outputs (MR-05)</w:t>
      </w:r>
      <w:r>
        <w:t xml:space="preserve"> 4 items a)–d): decision + owner + deadline</w:t>
        <w:br/>
        <w:t xml:space="preserve"> ↓</w:t>
        <w:br/>
        <w:t xml:space="preserve"> </w:t>
      </w:r>
      <w:r>
        <w:rPr>
          <w:b/>
        </w:rPr>
        <w:t>6 · Track and close (MR-06)</w:t>
      </w:r>
      <w:r>
        <w:t xml:space="preserve"> enter decisions; verify next year (input d))</w:t>
        <w:br/>
        <w:t xml:space="preserve"> ↓</w:t>
        <w:br/>
        <w:t xml:space="preserve"> </w:t>
      </w:r>
      <w:r>
        <w:rPr>
          <w:b/>
        </w:rPr>
        <w:t>7 · Archive</w:t>
      </w:r>
      <w:r>
        <w:t xml:space="preserve"> keep the full record set ≥ one accreditation cycle </w:t>
      </w:r>
      <w:r>
        <w:rPr>
          <w:b/>
        </w:rPr>
        <w:t>Common failure modes (to avoid):</w:t>
      </w:r>
      <w:r>
        <w:t xml:space="preserve"> ① running the review as an “internal audit briefing” — reading only the audit report and ignoring the other 14 inputs; ② inputs without data, dismissed with “system operating well”; ③ outputs written as “strengthen management” with no owner or deadline, unverifiable; ④ decisions untracked, next year's item d still says “previous decisions in continuous progress” with no completion records. The MR-03 / MR-05 / MR-06 trio in this pack specifically treats these problems.</w:t>
        <w:t xml:space="preserve"> </w:t>
        <w:t>LP-09 Management Review Procedure · LabKitPro Management Review Complete Pack (English Version v1.0)</w:t>
        <w:br/>
        <w:t>Same code as website library LP-09 · Prepared in accordance with ISO/IEC 17025:2017 §8.9 · Paid template for internal use by the purchasing laboratory only</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