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MR-WI-01 Management Review Work Instruction | LabKitPro Management Review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.sub{font-size:14.5px;color:#cfe0ec;max-width:860px}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p{margin:6px 0} table{width:100%;border-collapse:collapse;margin:10px 0 6px;font-size:13px;table-layout:fixed} th{background:#eef3f7;color:var(--ink2);font-weight:700;text-align:left;padding:8px;border:1px solid var(--line)} td{padding:8px;border:1px solid var(--line);vertical-align:top} .note{background:#fff8ec;border:1px solid #f0d9b8;border-radius:10px;padding:12px 16px;font-size:13px;color:#6b5320;margin:14px 0} .note b{color:#a35b1a} .good{background:#e7f4f1;border:1px solid #bfe3da;border-radius:8px;padding:10px 14px;font-size:13px;color:#1d5a50;margin:8px 0} .bad{background:#fdeaea;border:1px solid #ecc8c8;border-radius:8px;padding:10px 14px;font-size:13px;color:#7a2830;margin:8px 0}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Level-3 Work Instruction (WI) · Supports LP-09 Management Review Work Instruction</w:t>
      </w:r>
    </w:p>
    <w:p>
      <w:pPr>
        <w:pStyle w:val="Heading1"/>
      </w:pPr>
    </w:p>
    <w:p>
      <w:r>
        <w:t>Step-by-step operating guidance for the management review: where to get the data for each of the 15 inputs, how to write a proper conclusion, how to chair the meeting, how to complete MR-05, how to run MR-06, plus a filling example bank, a pre-issue self-check, and time-saving tips. Doc No. MR-WI-01 Version V1.0 Supports LP-09 Audience: Quality Manager / reviewers / department leads 1 Before You Start</w:t>
      </w:r>
    </w:p>
    <w:p>
      <w:pPr>
        <w:pStyle w:val="Heading2"/>
      </w:pPr>
    </w:p>
    <w:p>
      <w:r>
        <w:t xml:space="preserve">This instruction is the “operating manual” for LP-09. Before acting, read LP-09 to understand the overall flow, then prepare this year's dates from MR-01/MR-07. Principle: </w:t>
      </w:r>
      <w:r>
        <w:rPr>
          <w:b/>
        </w:rPr>
        <w:t>the review's value equals the quality of its inputs and the tracking of its outputs</w:t>
      </w:r>
      <w:r>
        <w:t xml:space="preserve"> — empty inputs and abandoned decisions are what turn a review into paperwork.</w:t>
      </w:r>
    </w:p>
    <w:p>
      <w:pPr>
        <w:pStyle w:val="Heading2"/>
      </w:pPr>
      <w:r>
        <w:t>2 Where to Get the Data for the 15 Inputs (item by item)</w:t>
      </w:r>
    </w:p>
    <w:p>
      <w:r>
        <w:t>The common mistake is “no data”. For each item, the data already exists inside the laboratory; the trick is to know where it sits and to standardise it into MR-03. Reference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Input</w:t>
            </w:r>
          </w:p>
        </w:tc>
        <w:tc>
          <w:tcPr>
            <w:tcW w:type="dxa" w:w="0"/>
          </w:tcPr>
          <w:p>
            <w:r>
              <w:t>Where to find the data</w:t>
            </w:r>
          </w:p>
        </w:tc>
        <w:tc>
          <w:tcPr>
            <w:tcW w:type="dxa" w:w="0"/>
          </w:tcPr>
          <w:p>
            <w:r>
              <w:t>Who prepares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Changes in internal and external factors</w:t>
            </w:r>
          </w:p>
        </w:tc>
        <w:tc>
          <w:tcPr>
            <w:tcW w:type="dxa" w:w="0"/>
          </w:tcPr>
          <w:p>
            <w:r>
              <w:t>Regulatory update tracking sheet, customer industry news, minutes of management meetings</w:t>
            </w:r>
          </w:p>
        </w:tc>
        <w:tc>
          <w:tcPr>
            <w:tcW w:type="dxa" w:w="0"/>
          </w:tcPr>
          <w:p>
            <w:r>
              <w:t>Administration / management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Extent to which objectives were met</w:t>
            </w:r>
          </w:p>
        </w:tc>
        <w:tc>
          <w:tcPr>
            <w:tcW w:type="dxa" w:w="0"/>
          </w:tcPr>
          <w:p>
            <w:r>
              <w:t>Annual quality objective attainment statistics (usually maintained by Quality)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Appropriateness of policies and procedures</w:t>
            </w:r>
          </w:p>
        </w:tc>
        <w:tc>
          <w:tcPr>
            <w:tcW w:type="dxa" w:w="0"/>
          </w:tcPr>
          <w:p>
            <w:r>
              <w:t>Document control ledger, internal audit findings, department feedback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Status of previous review actions</w:t>
            </w:r>
          </w:p>
        </w:tc>
        <w:tc>
          <w:tcPr>
            <w:tcW w:type="dxa" w:w="0"/>
          </w:tcPr>
          <w:p>
            <w:r>
              <w:t>Last year's MR-06 tracker — simply “check each one”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Internal audit results</w:t>
            </w:r>
          </w:p>
        </w:tc>
        <w:tc>
          <w:tcPr>
            <w:tcW w:type="dxa" w:w="0"/>
          </w:tcPr>
          <w:p>
            <w:r>
              <w:t>FR-25 audit report, IA-05 distribution/trend analysis</w:t>
            </w:r>
          </w:p>
        </w:tc>
        <w:tc>
          <w:tcPr>
            <w:tcW w:type="dxa" w:w="0"/>
          </w:tcPr>
          <w:p>
            <w:r>
              <w:t>Audit team leader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Corrective actions</w:t>
            </w:r>
          </w:p>
        </w:tc>
        <w:tc>
          <w:tcPr>
            <w:tcW w:type="dxa" w:w="0"/>
          </w:tcPr>
          <w:p>
            <w:r>
              <w:t>FR-24 nonconformity ledger, IA-06 closure verification</w:t>
            </w:r>
          </w:p>
        </w:tc>
        <w:tc>
          <w:tcPr>
            <w:tcW w:type="dxa" w:w="0"/>
          </w:tcPr>
          <w:p>
            <w:r>
              <w:t>Responsible departments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External assessments</w:t>
            </w:r>
          </w:p>
        </w:tc>
        <w:tc>
          <w:tcPr>
            <w:tcW w:type="dxa" w:w="0"/>
          </w:tcPr>
          <w:p>
            <w:r>
              <w:t>Accreditation body / regulator assessment reports and correction records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Changes in workload / type / scope</w:t>
            </w:r>
          </w:p>
        </w:tc>
        <w:tc>
          <w:tcPr>
            <w:tcW w:type="dxa" w:w="0"/>
          </w:tcPr>
          <w:p>
            <w:r>
              <w:t>Monthly workload statistics, scope-change applications, subcontracting records</w:t>
            </w:r>
          </w:p>
        </w:tc>
        <w:tc>
          <w:tcPr>
            <w:tcW w:type="dxa" w:w="0"/>
          </w:tcPr>
          <w:p>
            <w:r>
              <w:t>Business / technical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Customer and personnel feedback</w:t>
            </w:r>
          </w:p>
        </w:tc>
        <w:tc>
          <w:tcPr>
            <w:tcW w:type="dxa" w:w="0"/>
          </w:tcPr>
          <w:p>
            <w:r>
              <w:t>Satisfaction survey summaries, employee suggestion records, exit interviews</w:t>
            </w:r>
          </w:p>
        </w:tc>
        <w:tc>
          <w:tcPr>
            <w:tcW w:type="dxa" w:w="0"/>
          </w:tcPr>
          <w:p>
            <w:r>
              <w:t>Administration / HR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Complaints</w:t>
            </w:r>
          </w:p>
        </w:tc>
        <w:tc>
          <w:tcPr>
            <w:tcW w:type="dxa" w:w="0"/>
          </w:tcPr>
          <w:p>
            <w:r>
              <w:t>Complaint handling ledger (§7.9)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Effectiveness of improvements</w:t>
            </w:r>
          </w:p>
        </w:tc>
        <w:tc>
          <w:tcPr>
            <w:tcW w:type="dxa" w:w="0"/>
          </w:tcPr>
          <w:p>
            <w:r>
              <w:t>Improvement measure evaluations (before/after data)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Adequacy of resources</w:t>
            </w:r>
          </w:p>
        </w:tc>
        <w:tc>
          <w:tcPr>
            <w:tcW w:type="dxa" w:w="0"/>
          </w:tcPr>
          <w:p>
            <w:r>
              <w:t>Equipment utilisation stats, premises reports, personnel headcount and capability matrix</w:t>
            </w:r>
          </w:p>
        </w:tc>
        <w:tc>
          <w:tcPr>
            <w:tcW w:type="dxa" w:w="0"/>
          </w:tcPr>
          <w:p>
            <w:r>
              <w:t>Technical Manager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Risk identification results</w:t>
            </w:r>
          </w:p>
        </w:tc>
        <w:tc>
          <w:tcPr>
            <w:tcW w:type="dxa" w:w="0"/>
          </w:tcPr>
          <w:p>
            <w:r>
              <w:t>Risk and opportunity register (§8.5)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Outputs ensuring validity of results</w:t>
            </w:r>
          </w:p>
        </w:tc>
        <w:tc>
          <w:tcPr>
            <w:tcW w:type="dxa" w:w="0"/>
          </w:tcPr>
          <w:p>
            <w:r>
              <w:t>PT summary, QC chart summary, intermediate check records</w:t>
            </w:r>
          </w:p>
        </w:tc>
        <w:tc>
          <w:tcPr>
            <w:tcW w:type="dxa" w:w="0"/>
          </w:tcPr>
          <w:p>
            <w:r>
              <w:t>Technical Manager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Other relevant factors (monitoring / training)</w:t>
            </w:r>
          </w:p>
        </w:tc>
        <w:tc>
          <w:tcPr>
            <w:tcW w:type="dxa" w:w="0"/>
          </w:tcPr>
          <w:p>
            <w:r>
              <w:t>Environmental monitoring records, training matrix and completion statistics</w:t>
            </w:r>
          </w:p>
        </w:tc>
        <w:tc>
          <w:tcPr>
            <w:tcW w:type="dxa" w:w="0"/>
          </w:tcPr>
          <w:p>
            <w:r>
              <w:t>All departments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3 How to Write a Conclusion for Each Input (with examples)</w:t>
      </w:r>
    </w:p>
    <w:p>
      <w:pPr>
        <w:pStyle w:val="Heading2"/>
      </w:pPr>
    </w:p>
    <w:p>
      <w:r>
        <w:t xml:space="preserve">Conclusion formula: </w:t>
      </w:r>
      <w:r>
        <w:rPr>
          <w:b/>
        </w:rPr>
        <w:t>“current value/state (data) → comparison (vs. target or vs. last year) → judgement (met / gap / risk) → suggestion (for decision)</w:t>
      </w:r>
      <w:r>
        <w:t>”. It must never end with “normal”.</w:t>
      </w:r>
    </w:p>
    <w:p>
      <w:r>
        <w:rPr>
          <w:b/>
        </w:rPr>
        <w:t>Good:</w:t>
      </w:r>
      <w:r>
        <w:t xml:space="preserve"> “PT satisfaction 100% in 8 rounds, internal QC in-control rate 98%, intermediate check completion 100%; result validity confirmed (item n).”</w:t>
      </w:r>
    </w:p>
    <w:p>
      <w:r>
        <w:rPr>
          <w:b/>
        </w:rPr>
        <w:t>Poor:</w:t>
      </w:r>
      <w:r>
        <w:t xml:space="preserve"> “No problems found in this item.” (data missing, no evidence, cannot support a judgement)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Good example (fill-in model)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“New accreditation supporting documents released in April triggered 2 procedure revisions; market demand adds new-energy parameters; the system has responded, no structural adjustment needed.”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“5 of 6 objectives met; report on-time rate 92.3% vs. target 95% — gap caused by scope-extension review backlog; listed as issue T1.”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“28 controlled documents; 4 revised, 2 added this year; sampled on-site all in valid revision; no documents-without-execution found.”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“11 of 12 decisions completed; 1 (LIMS launch) delayed to Q2, reasons at T2; overdue items already escalated.”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“Full-element audit raised 5 NCs (all minor); conclusion: the system conforms and is effective; equipment control remains a weak point (see IA-05).”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“14 NCs, 13 closed (93%); 1 recurring equipment-identification issue escalated for root-cause analysis and document revision.”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“1 surveillance assessment; 2 observations, both closed within 60 days; recommendations incorporated into improvement.”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“Orders up 18.2% yoy; 12 new environmental parameters; capacity copes but peaks are saturated — resource demand in item l.”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“Customer satisfaction 94.1 vs. 91.3 last year; 8 employee suggestions, 5 adopted; main expectation is faster reports.”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“3 complaints, all closed on time; no repeat from the same customer; report format is the common theme, improvement listed in k.”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“After report double-review was introduced, the error rate fell from 0.7% to 0.4% — effective and to be retained.”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“Key equipment average utilisation 85%; GC queues over 3 days in peak months; recommend adding 1 unit (decision c).”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“16 risks (2 high / 5 medium / 9 low); the attrition risk has a backup mechanism; medium risks under control.”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“PT satisfaction 100%; QC in-control 98%; 1 out-of-control case corrected and closed with its record.”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“2 environmental alerts both handled on time; training completion 96%; 1 external training deferred to Q1.”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How to Chair the Management Review</w:t>
      </w:r>
    </w:p>
    <w:p>
      <w:pPr>
        <w:pStyle w:val="Heading2"/>
      </w:pPr>
    </w:p>
    <w:p>
      <w:r>
        <w:t>① Start: state the purpose and scope; confirm inputs are complete; if any item is missing or “empty”, stop and return it. ② For each issue to be decided, the chair asks: “What is the evidence? What is the decision? Who owns it? By when?” — and the minutes record the answers. ③ Guard against drift into a briefing session: informational content is read beforehand, the meeting decides only. ④ Before closing, the chair reads back the four output categories a)–d) and confirms each has an owner and deadline. ⑤ Appoint the Quality Manager to enter everything into MR-06 within 3 days.</w:t>
      </w:r>
    </w:p>
    <w:p>
      <w:pPr>
        <w:pStyle w:val="Heading2"/>
      </w:pPr>
      <w:r>
        <w:t>5 How to Complete MR-05 (step by step)</w:t>
      </w:r>
    </w:p>
    <w:p>
      <w:r>
        <w:t>① Copy the 15 core conclusions from MR-03 into §3 (edit for one consistent voice). ② In §4 write the triple-dimension judgement: suitability / adequacy / effectiveness, each with evidence. ③ In §5 turn the “issues to be decided” decisions into the four output categories, each row must have: decision content + owner + deadline + acceptance criteria. ④ In §6 draft next year's objective proposals based on item b and changes. ⑤ Get the sign-off of the Technical Manager, then top management; issue within 10 working days after the meeting.</w:t>
      </w:r>
    </w:p>
    <w:p>
      <w:pPr>
        <w:pStyle w:val="Heading2"/>
      </w:pPr>
      <w:r>
        <w:t>6 How to Operate MR-06 (decision tracker)</w:t>
      </w:r>
    </w:p>
    <w:p>
      <w:r>
        <w:t>① Within 3 days of issuing MR-05, enter each output row by row (decision no., source category, content, owner, deadline, status). ② The Quality Manager checks monthly: remind owners 5 days before deadlines; overdue items without a reasonable explanation are escalated to top management in writing. ③ At closure: verification method + completion evidence + verifier signature; not-passed items are returned (record attempt no.). ④ Next year's input d) simply reads off the tracker's annual summary — the closure chain becomes the evidence.</w:t>
      </w:r>
    </w:p>
    <w:p>
      <w:pPr>
        <w:pStyle w:val="Heading2"/>
      </w:pPr>
      <w:r>
        <w:t>7 Time-Nodes Quick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Time node</w:t>
            </w:r>
          </w:p>
        </w:tc>
        <w:tc>
          <w:tcPr>
            <w:tcW w:type="dxa" w:w="0"/>
          </w:tcPr>
          <w:p>
            <w:r>
              <w:t>Action</w:t>
            </w:r>
          </w:p>
        </w:tc>
      </w:tr>
      <w:tr>
        <w:tc>
          <w:tcPr>
            <w:tcW w:type="dxa" w:w="0"/>
          </w:tcPr>
          <w:p>
            <w:r>
              <w:t>8 weeks before review</w:t>
            </w:r>
          </w:p>
        </w:tc>
        <w:tc>
          <w:tcPr>
            <w:tcW w:type="dxa" w:w="0"/>
          </w:tcPr>
          <w:p>
            <w:r>
              <w:t>Issue MR-07 calendar; start input collection</w:t>
            </w:r>
          </w:p>
        </w:tc>
      </w:tr>
      <w:tr>
        <w:tc>
          <w:tcPr>
            <w:tcW w:type="dxa" w:w="0"/>
          </w:tcPr>
          <w:p>
            <w:r>
              <w:t>6–3 weeks before</w:t>
            </w:r>
          </w:p>
        </w:tc>
        <w:tc>
          <w:tcPr>
            <w:tcW w:type="dxa" w:w="0"/>
          </w:tcPr>
          <w:p>
            <w:r>
              <w:t>Departments fill in MR-03 on schedule</w:t>
            </w:r>
          </w:p>
        </w:tc>
      </w:tr>
      <w:tr>
        <w:tc>
          <w:tcPr>
            <w:tcW w:type="dxa" w:w="0"/>
          </w:tcPr>
          <w:p>
            <w:r>
              <w:t>10 working days before</w:t>
            </w:r>
          </w:p>
        </w:tc>
        <w:tc>
          <w:tcPr>
            <w:tcW w:type="dxa" w:w="0"/>
          </w:tcPr>
          <w:p>
            <w:r>
              <w:t>Issue MR-02 notice + issues to be decided</w:t>
            </w:r>
          </w:p>
        </w:tc>
      </w:tr>
      <w:tr>
        <w:tc>
          <w:tcPr>
            <w:tcW w:type="dxa" w:w="0"/>
          </w:tcPr>
          <w:p>
            <w:r>
              <w:t>5 working days before</w:t>
            </w:r>
          </w:p>
        </w:tc>
        <w:tc>
          <w:tcPr>
            <w:tcW w:type="dxa" w:w="0"/>
          </w:tcPr>
          <w:p>
            <w:r>
              <w:t>All inputs in; Quality Manager pre-reviews and returns non-compliant items</w:t>
            </w:r>
          </w:p>
        </w:tc>
      </w:tr>
      <w:tr>
        <w:tc>
          <w:tcPr>
            <w:tcW w:type="dxa" w:w="0"/>
          </w:tcPr>
          <w:p>
            <w:r>
              <w:t>Review day</w:t>
            </w:r>
          </w:p>
        </w:tc>
        <w:tc>
          <w:tcPr>
            <w:tcW w:type="dxa" w:w="0"/>
          </w:tcPr>
          <w:p>
            <w:r>
              <w:t>Hold the meeting; fill in MR-04</w:t>
            </w:r>
          </w:p>
        </w:tc>
      </w:tr>
      <w:tr>
        <w:tc>
          <w:tcPr>
            <w:tcW w:type="dxa" w:w="0"/>
          </w:tcPr>
          <w:p>
            <w:r>
              <w:t>+10 working days</w:t>
            </w:r>
          </w:p>
        </w:tc>
        <w:tc>
          <w:tcPr>
            <w:tcW w:type="dxa" w:w="0"/>
          </w:tcPr>
          <w:p>
            <w:r>
              <w:t>Issue MR-05</w:t>
            </w:r>
          </w:p>
        </w:tc>
      </w:tr>
      <w:tr>
        <w:tc>
          <w:tcPr>
            <w:tcW w:type="dxa" w:w="0"/>
          </w:tcPr>
          <w:p>
            <w:r>
              <w:t>+3 days</w:t>
            </w:r>
          </w:p>
        </w:tc>
        <w:tc>
          <w:tcPr>
            <w:tcW w:type="dxa" w:w="0"/>
          </w:tcPr>
          <w:p>
            <w:r>
              <w:t>All decisions into MR-06</w:t>
            </w:r>
          </w:p>
        </w:tc>
      </w:tr>
      <w:tr>
        <w:tc>
          <w:tcPr>
            <w:tcW w:type="dxa" w:w="0"/>
          </w:tcPr>
          <w:p>
            <w:r>
              <w:t>Monthly</w:t>
            </w:r>
          </w:p>
        </w:tc>
        <w:tc>
          <w:tcPr>
            <w:tcW w:type="dxa" w:w="0"/>
          </w:tcPr>
          <w:p>
            <w:r>
              <w:t>MR-06 progress check and reminders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8 Filling Example Bank</w:t>
      </w:r>
    </w:p>
    <w:p>
      <w:pPr>
        <w:pStyle w:val="Heading2"/>
      </w:pPr>
    </w:p>
    <w:p>
      <w:r>
        <w:t>Two full “good vs. poor” pairs are provided as calibration references when departments fill in MR-03 — compare before submitting:</w:t>
      </w:r>
    </w:p>
    <w:p>
      <w:r>
        <w:rPr>
          <w:b/>
        </w:rPr>
        <w:t>Poor pair (typical of a formalistic review):</w:t>
      </w:r>
      <w:r>
        <w:t xml:space="preserve"> Item e: “Internal audit passed with no major problems.”</w:t>
        <w:br/>
        <w:t xml:space="preserve"> Item l: “Resources adequate.”</w:t>
        <w:br/>
        <w:t xml:space="preserve"> Item d: “Previous decisions basically implemented.”</w:t>
        <w:br/>
        <w:t xml:space="preserve"> Review output: “Continuous improvement.” — no data, no evidence, no owner, no deadline; this whole review will not survive an assessor's review.</w:t>
      </w:r>
    </w:p>
    <w:p>
      <w:r>
        <w:rPr>
          <w:b/>
        </w:rPr>
        <w:t>Good pair (the target of this pack):</w:t>
      </w:r>
      <w:r>
        <w:t xml:space="preserve"> Item e: “FR-25 No. 2026-02: 5 NCs, all minor, concentrated in §6.4 equipment records; conclusion — the system conforms and is effective.”</w:t>
        <w:br/>
        <w:t xml:space="preserve"> Item l: “Key equipment average utilisation 85%; GC queues over 3 days in peak months; 1 analyst position vacant; add 1 GC + 1 analyst (decision c).”</w:t>
        <w:br/>
        <w:t xml:space="preserve"> Item d: “11 of 12 decisions closed, 1 delayed with reasons recorded; closure evidence in MR-06.”</w:t>
        <w:br/>
        <w:t xml:space="preserve"> Review output: “c: Technical Manager to complete GC procurement, installation and traceability by 2027-03-31 (acceptance: equipment register + traceability certificates).”</w:t>
      </w:r>
    </w:p>
    <w:p>
      <w:pPr>
        <w:pStyle w:val="Heading2"/>
      </w:pPr>
      <w:r>
        <w:t>9 Pre-Issue Self-Check (checklist before the review is filed as complete)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No.</w:t>
            </w:r>
          </w:p>
        </w:tc>
        <w:tc>
          <w:tcPr>
            <w:tcW w:type="dxa" w:w="0"/>
          </w:tcPr>
          <w:p>
            <w:r>
              <w:t>Check item</w:t>
            </w:r>
          </w:p>
        </w:tc>
        <w:tc>
          <w:tcPr>
            <w:tcW w:type="dxa" w:w="0"/>
          </w:tcPr>
          <w:p>
            <w:r>
              <w:t>Result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All 15 inputs a)–o) complete, each with data + evidence reference + conclusion</w:t>
            </w:r>
          </w:p>
        </w:tc>
        <w:tc>
          <w:tcPr>
            <w:tcW w:type="dxa" w:w="0"/>
          </w:tcPr>
          <w:p>
            <w:r>
              <w:t>□ Yes □ No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No input written only as “normal / fine / no change / none”</w:t>
            </w:r>
          </w:p>
        </w:tc>
        <w:tc>
          <w:tcPr>
            <w:tcW w:type="dxa" w:w="0"/>
          </w:tcPr>
          <w:p>
            <w:r>
              <w:t>□ Yes □ No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Attendance page signed (MR-04); meeting chaired by top management</w:t>
            </w:r>
          </w:p>
        </w:tc>
        <w:tc>
          <w:tcPr>
            <w:tcW w:type="dxa" w:w="0"/>
          </w:tcPr>
          <w:p>
            <w:r>
              <w:t>□ Yes □ No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Triple-dimension judgement (suitability / adequacy / effectiveness) stated in MR-05</w:t>
            </w:r>
          </w:p>
        </w:tc>
        <w:tc>
          <w:tcPr>
            <w:tcW w:type="dxa" w:w="0"/>
          </w:tcPr>
          <w:p>
            <w:r>
              <w:t>□ Yes □ No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Four output categories a)–d) each have decision + owner + deadline + acceptance criteria</w:t>
            </w:r>
          </w:p>
        </w:tc>
        <w:tc>
          <w:tcPr>
            <w:tcW w:type="dxa" w:w="0"/>
          </w:tcPr>
          <w:p>
            <w:r>
              <w:t>□ Yes □ No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All outputs entered into MR-06 within 3 days</w:t>
            </w:r>
          </w:p>
        </w:tc>
        <w:tc>
          <w:tcPr>
            <w:tcW w:type="dxa" w:w="0"/>
          </w:tcPr>
          <w:p>
            <w:r>
              <w:t>□ Yes □ No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Full record set (MR-01 to MR-07) archived with a retention period set</w:t>
            </w:r>
          </w:p>
        </w:tc>
        <w:tc>
          <w:tcPr>
            <w:tcW w:type="dxa" w:w="0"/>
          </w:tcPr>
          <w:p>
            <w:r>
              <w:t>□ Yes □ No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10 Frequently Asked Questions</w:t>
      </w:r>
    </w:p>
    <w:p>
      <w:pPr>
        <w:pStyle w:val="Heading2"/>
      </w:pPr>
    </w:p>
    <w:p>
      <w:r>
        <w:rPr>
          <w:b/>
        </w:rPr>
        <w:t>Q1: Must the review be held once a year?</w:t>
      </w:r>
      <w:r>
        <w:t xml:space="preserve"> At least once every 12 months; additionally whenever a major change occurs, then an additional review within 1 month may be narrower in scope (see LP-09 §5.11).</w:t>
      </w:r>
    </w:p>
    <w:p>
      <w:r>
        <w:rPr>
          <w:b/>
        </w:rPr>
        <w:t>Q2: Who must attend?</w:t>
      </w:r>
      <w:r>
        <w:t xml:space="preserve"> Top management, Quality Manager, Technical Manager, heads of departments and authorised signatory representatives; anyone who owns an issue must attend its decision.</w:t>
      </w:r>
    </w:p>
    <w:p>
      <w:r>
        <w:rPr>
          <w:b/>
        </w:rPr>
        <w:t>Q3: Can the meeting be shortened?</w:t>
      </w:r>
      <w:r>
        <w:t xml:space="preserve"> Yes: pre-circulate informational inputs, and decide only the issues on the “issues to be decided” list; half a day is enough for a typical laboratory.</w:t>
      </w:r>
    </w:p>
    <w:p>
      <w:r>
        <w:rPr>
          <w:b/>
        </w:rPr>
        <w:t>Q4: What if a department's input is late?</w:t>
      </w:r>
      <w:r>
        <w:t xml:space="preserve"> Return it with a deadline (5 working days before the review is the hard gate); the calendar (MR-07) and monthly reminders prevent this.</w:t>
      </w:r>
    </w:p>
    <w:p>
      <w:r>
        <w:rPr>
          <w:b/>
        </w:rPr>
        <w:t>Q5: Is the review linked to internal audit?</w:t>
      </w:r>
      <w:r>
        <w:t xml:space="preserve"> Yes: audit conclusions are input e); it is recommended to hold the review within one month after the audit so evidence is fresh and corrections have had time to show effect.</w:t>
      </w:r>
    </w:p>
    <w:p>
      <w:pPr>
        <w:pStyle w:val="Heading2"/>
      </w:pPr>
      <w:r>
        <w:t>11 Quick Mnemonic (for the review day)</w:t>
      </w:r>
    </w:p>
    <w:p>
      <w:r>
        <w:rPr>
          <w:b/>
        </w:rPr>
        <w:t>“3-3-3”:</w:t>
      </w:r>
      <w:r>
        <w:t xml:space="preserve"> </w:t>
      </w:r>
      <w:r>
        <w:rPr>
          <w:b/>
        </w:rPr>
        <w:t>3</w:t>
      </w:r>
      <w:r>
        <w:t xml:space="preserve"> musts — inputs with data, outputs with owners, decisions with deadlines; </w:t>
      </w:r>
      <w:r>
        <w:rPr>
          <w:b/>
        </w:rPr>
        <w:t>3</w:t>
      </w:r>
      <w:r>
        <w:t xml:space="preserve"> checks — suitability, adequacy, effectiveness; </w:t>
      </w:r>
      <w:r>
        <w:rPr>
          <w:b/>
        </w:rPr>
        <w:t>3</w:t>
      </w:r>
      <w:r>
        <w:t xml:space="preserve"> closures — report issued within 10 working days, decisions entered within 3 days, closure verified next year. Post this on the wall of the review room.</w:t>
      </w:r>
    </w:p>
    <w:p>
      <w:pPr>
        <w:pStyle w:val="Heading2"/>
      </w:pPr>
      <w:r>
        <w:t>12 Time Traps (avoid these)</w:t>
      </w:r>
    </w:p>
    <w:p>
      <w:r>
        <w:t>① Holding the review before the internal audit is complete — input e has nothing to cite; ② collecting inputs the day before the meeting — pre-review becomes a formality; ③ issuing the report months later — the decisions age before they start; ④ skipping monthly checks on MR-06 — next year's input d) becomes “all in progress”; ⑤ reviewing only for the accreditation body — the review degenerates into paperwork and loses its management value.</w:t>
      </w:r>
    </w:p>
    <w:p>
      <w:r>
        <w:t>MR-WI-01 Management Review Work Instruction · LabKitPro Management Review Complete Pack (English Version v1.0)</w:t>
        <w:br/>
        <w:t>Supports LP-09 · Prepared in accordance with ISO/IEC 17025:2017 §8.9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