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MR-WI-01 管理评审作业指导书（完善版） | LabKitPro 管审资料包 :root{--ink:#10202e;--ink2:#38505f;--muted:#5d7180;--bg:#f6f8fa;--card:#fff;--line:#dde5eb;--brand:#0f2f4a;--accent:#0e8f7d;--accent2:#1b6ea8;--warn:#a35b1a} *{box-sizing:border-box;margin:0;padding:0} body{font-family:"Noto Sans SC","PingFang SC","Microsoft YaHei",-apple-system,sans-serif;background:var(--bg);color:var(--ink);line-height:1.8;font-size:15px}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h3{font-size:15.5px;font-weight:700;color:var(--ink2);margin:20px 0 8px} table{width:100%;border-collapse:collapse;margin:10px 0 6px;font-size:13px;table-layout:fixed} th{background:#eef3f7;color:var(--ink2);font-weight:700;text-align:left;padding:8px;border:1px solid var(--line)} td{padding:8px;border:1px solid var(--line);vertical-align:top} .note{background:#fff8ec;border:1px solid #f0d9b8;border-radius:10px;padding:12px 16px;font-size:13px;color:#6b5320;margin:14px 0} .note b{color:#a35b1a} .bad{background:#fdeaea;border:1px solid #ecc8c8;border-radius:8px;padding:10px 14px;font-size:13px;color:#7a2830;margin:8px 0} .good{background:#e7f4f1;border:1px solid #bfe3da;border-radius:8px;padding:10px 14px;font-size:13px;color:#1d5a50;margin:8px 0} .foot{margin-top:48px;padding-top:18px;border-top:1px solid var(--line);color:var(--muted);font-size:12.5px;text-align:center} @media(max-width:760px){h1{font-size:22px}table{font-size:12px;min-width:520px}th,td{padding:5px}.wrap{padding:0 14px 60px}} LabKitPro · C 级作业指导书（WI）· 配套 LP-09 管理评审作业指导书</w:t>
      </w:r>
    </w:p>
    <w:p>
      <w:pPr>
        <w:pStyle w:val="Heading1"/>
      </w:pPr>
    </w:p>
    <w:p>
      <w:r>
        <w:t>Management Review Work Instruction —— 把 LP-09《管理评审程序》落到"具体怎么填、怎么写、怎么判定"的操作层，覆盖 15 项输入收集技巧、会议主持话术、报告与决议撰写模板、好/差对照。 文件编号 MR-WI-01 版本 V1.0（完善版） 配套 LP-09 操作层：填 / 写 / 判 一 适用范围</w:t>
      </w:r>
    </w:p>
    <w:p>
      <w:pPr>
        <w:pStyle w:val="Heading2"/>
      </w:pPr>
    </w:p>
    <w:p>
      <w:r>
        <w:t>本指导书供质量负责人、各部门输入填报人、会议记录人、报告拟写人使用，配合 LP-09《管理评审程序》与管审资料包全套表单（MR-01～MR-07）执行。当程序文件与本文冲突时，以 LP-09 为准；本文是对 LP-09 的操作细化，不改变其职责与流程。</w:t>
      </w:r>
    </w:p>
    <w:p>
      <w:pPr>
        <w:pStyle w:val="Heading2"/>
      </w:pPr>
      <w:r>
        <w:t>二 输入收集的操作方法（对应 §8.9.2 a–o）</w:t>
      </w:r>
    </w:p>
    <w:p>
      <w:r>
        <w:t>输入填报三条铁律：</w:t>
      </w:r>
      <w:r>
        <w:rPr>
          <w:b/>
        </w:rPr>
        <w:t>有数据、有证据编号、有结论</w:t>
      </w:r>
      <w:r>
        <w:t>。下面对 15 项逐一给出"填什么、去哪取、怎么写结论"。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输入</w:t>
            </w:r>
          </w:p>
        </w:tc>
        <w:tc>
          <w:tcPr>
            <w:tcW w:type="dxa" w:w="0"/>
          </w:tcPr>
          <w:p>
            <w:r>
              <w:t>数据/证据去哪取</w:t>
            </w:r>
          </w:p>
        </w:tc>
        <w:tc>
          <w:tcPr>
            <w:tcW w:type="dxa" w:w="0"/>
          </w:tcPr>
          <w:p>
            <w:r>
              <w:t>结论写法示例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内外部因素变化</w:t>
            </w:r>
          </w:p>
        </w:tc>
        <w:tc>
          <w:tcPr>
            <w:tcW w:type="dxa" w:w="0"/>
          </w:tcPr>
          <w:p>
            <w:r>
              <w:t>年度相关方/PEST 复盘、法规更新清单</w:t>
            </w:r>
          </w:p>
        </w:tc>
        <w:tc>
          <w:tcPr>
            <w:tcW w:type="dxa" w:w="0"/>
          </w:tcPr>
          <w:p>
            <w:r>
              <w:t>"新《计量法》实施细则 3 月施行，已纳入文件评审（见 c 项）"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目标实现</w:t>
            </w:r>
          </w:p>
        </w:tc>
        <w:tc>
          <w:tcPr>
            <w:tcW w:type="dxa" w:w="0"/>
          </w:tcPr>
          <w:p>
            <w:r>
              <w:t>质量目标统计表</w:t>
            </w:r>
          </w:p>
        </w:tc>
        <w:tc>
          <w:tcPr>
            <w:tcW w:type="dxa" w:w="0"/>
          </w:tcPr>
          <w:p>
            <w:r>
              <w:t>"6 项目标达成 5 项，报告按时率 92%（目标 95%），差距见议题 3"</w:t>
            </w:r>
          </w:p>
        </w:tc>
      </w:tr>
      <w:tr>
        <w:tc>
          <w:tcPr>
            <w:tcW w:type="dxa" w:w="0"/>
          </w:tcPr>
          <w:p>
            <w:r>
              <w:t>c</w:t>
            </w:r>
          </w:p>
        </w:tc>
        <w:tc>
          <w:tcPr>
            <w:tcW w:type="dxa" w:w="0"/>
          </w:tcPr>
          <w:p>
            <w:r>
              <w:t>政策程序适宜性</w:t>
            </w:r>
          </w:p>
        </w:tc>
        <w:tc>
          <w:tcPr>
            <w:tcW w:type="dxa" w:w="0"/>
          </w:tcPr>
          <w:p>
            <w:r>
              <w:t>文件修订台账</w:t>
            </w:r>
          </w:p>
        </w:tc>
        <w:tc>
          <w:tcPr>
            <w:tcW w:type="dxa" w:w="0"/>
          </w:tcPr>
          <w:p>
            <w:r>
              <w:t>"年内修订程序 4 份，现行 28 份均适宜，修订记录见附表"</w:t>
            </w:r>
          </w:p>
        </w:tc>
      </w:tr>
      <w:tr>
        <w:tc>
          <w:tcPr>
            <w:tcW w:type="dxa" w:w="0"/>
          </w:tcPr>
          <w:p>
            <w:r>
              <w:t>d</w:t>
            </w:r>
          </w:p>
        </w:tc>
        <w:tc>
          <w:tcPr>
            <w:tcW w:type="dxa" w:w="0"/>
          </w:tcPr>
          <w:p>
            <w:r>
              <w:t>以往措施状况</w:t>
            </w:r>
          </w:p>
        </w:tc>
        <w:tc>
          <w:tcPr>
            <w:tcW w:type="dxa" w:w="0"/>
          </w:tcPr>
          <w:p>
            <w:r>
              <w:t>上年 MR-06</w:t>
            </w:r>
          </w:p>
        </w:tc>
        <w:tc>
          <w:tcPr>
            <w:tcW w:type="dxa" w:w="0"/>
          </w:tcPr>
          <w:p>
            <w:r>
              <w:t>"上年 12 项决议完成 11 项，1 项延期（原因…），本次列议题 5"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内审结果</w:t>
            </w:r>
          </w:p>
        </w:tc>
        <w:tc>
          <w:tcPr>
            <w:tcW w:type="dxa" w:w="0"/>
          </w:tcPr>
          <w:p>
            <w:r>
              <w:t>FR-25 + IA-05</w:t>
            </w:r>
          </w:p>
        </w:tc>
        <w:tc>
          <w:tcPr>
            <w:tcW w:type="dxa" w:w="0"/>
          </w:tcPr>
          <w:p>
            <w:r>
              <w:t>"开不符合 5 项均一般，体系符合且有效，详见 FR-25"</w:t>
            </w:r>
          </w:p>
        </w:tc>
      </w:tr>
      <w:tr>
        <w:tc>
          <w:tcPr>
            <w:tcW w:type="dxa" w:w="0"/>
          </w:tcPr>
          <w:p>
            <w:r>
              <w:t>f</w:t>
            </w:r>
          </w:p>
        </w:tc>
        <w:tc>
          <w:tcPr>
            <w:tcW w:type="dxa" w:w="0"/>
          </w:tcPr>
          <w:p>
            <w:r>
              <w:t>纠正措施</w:t>
            </w:r>
          </w:p>
        </w:tc>
        <w:tc>
          <w:tcPr>
            <w:tcW w:type="dxa" w:w="0"/>
          </w:tcPr>
          <w:p>
            <w:r>
              <w:t>FR-24 / IA-06</w:t>
            </w:r>
          </w:p>
        </w:tc>
        <w:tc>
          <w:tcPr>
            <w:tcW w:type="dxa" w:w="0"/>
          </w:tcPr>
          <w:p>
            <w:r>
              <w:t>"本年开 NC 14 项，关闭 13 项，关闭率 93%"</w:t>
            </w:r>
          </w:p>
        </w:tc>
      </w:tr>
      <w:tr>
        <w:tc>
          <w:tcPr>
            <w:tcW w:type="dxa" w:w="0"/>
          </w:tcPr>
          <w:p>
            <w:r>
              <w:t>g</w:t>
            </w:r>
          </w:p>
        </w:tc>
        <w:tc>
          <w:tcPr>
            <w:tcW w:type="dxa" w:w="0"/>
          </w:tcPr>
          <w:p>
            <w:r>
              <w:t>外部评审</w:t>
            </w:r>
          </w:p>
        </w:tc>
        <w:tc>
          <w:tcPr>
            <w:tcW w:type="dxa" w:w="0"/>
          </w:tcPr>
          <w:p>
            <w:r>
              <w:t>认可/监管评审报告</w:t>
            </w:r>
          </w:p>
        </w:tc>
        <w:tc>
          <w:tcPr>
            <w:tcW w:type="dxa" w:w="0"/>
          </w:tcPr>
          <w:p>
            <w:r>
              <w:t>"年内接受 CNAS 监督评审 1 次，观察项 2 项已整改"</w:t>
            </w:r>
          </w:p>
        </w:tc>
      </w:tr>
      <w:tr>
        <w:tc>
          <w:tcPr>
            <w:tcW w:type="dxa" w:w="0"/>
          </w:tcPr>
          <w:p>
            <w:r>
              <w:t>h</w:t>
            </w:r>
          </w:p>
        </w:tc>
        <w:tc>
          <w:tcPr>
            <w:tcW w:type="dxa" w:w="0"/>
          </w:tcPr>
          <w:p>
            <w:r>
              <w:t>工作量/范围变化</w:t>
            </w:r>
          </w:p>
        </w:tc>
        <w:tc>
          <w:tcPr>
            <w:tcW w:type="dxa" w:w="0"/>
          </w:tcPr>
          <w:p>
            <w:r>
              <w:t>业务量报表、扩项记录</w:t>
            </w:r>
          </w:p>
        </w:tc>
        <w:tc>
          <w:tcPr>
            <w:tcW w:type="dxa" w:w="0"/>
          </w:tcPr>
          <w:p>
            <w:r>
              <w:t>"检测量同比 +18%，新增环境类参数 12 项"</w:t>
            </w:r>
          </w:p>
        </w:tc>
      </w:tr>
      <w:tr>
        <w:tc>
          <w:tcPr>
            <w:tcW w:type="dxa" w:w="0"/>
          </w:tcPr>
          <w:p>
            <w:r>
              <w:t>i</w:t>
            </w:r>
          </w:p>
        </w:tc>
        <w:tc>
          <w:tcPr>
            <w:tcW w:type="dxa" w:w="0"/>
          </w:tcPr>
          <w:p>
            <w:r>
              <w:t>顾客/人员反馈</w:t>
            </w:r>
          </w:p>
        </w:tc>
        <w:tc>
          <w:tcPr>
            <w:tcW w:type="dxa" w:w="0"/>
          </w:tcPr>
          <w:p>
            <w:r>
              <w:t>满意度调查、员工座谈</w:t>
            </w:r>
          </w:p>
        </w:tc>
        <w:tc>
          <w:tcPr>
            <w:tcW w:type="dxa" w:w="0"/>
          </w:tcPr>
          <w:p>
            <w:r>
              <w:t>"客户满意度 94 分（去年 91），员工建议 8 条已采纳 5 条"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投诉</w:t>
            </w:r>
          </w:p>
        </w:tc>
        <w:tc>
          <w:tcPr>
            <w:tcW w:type="dxa" w:w="0"/>
          </w:tcPr>
          <w:p>
            <w:r>
              <w:t>投诉台账（§7.9）</w:t>
            </w:r>
          </w:p>
        </w:tc>
        <w:tc>
          <w:tcPr>
            <w:tcW w:type="dxa" w:w="0"/>
          </w:tcPr>
          <w:p>
            <w:r>
              <w:t>"投诉 3 起，按期闭环 3 起，无重复投诉"</w:t>
            </w:r>
          </w:p>
        </w:tc>
      </w:tr>
      <w:tr>
        <w:tc>
          <w:tcPr>
            <w:tcW w:type="dxa" w:w="0"/>
          </w:tcPr>
          <w:p>
            <w:r>
              <w:t>k</w:t>
            </w:r>
          </w:p>
        </w:tc>
        <w:tc>
          <w:tcPr>
            <w:tcW w:type="dxa" w:w="0"/>
          </w:tcPr>
          <w:p>
            <w:r>
              <w:t>改进有效性</w:t>
            </w:r>
          </w:p>
        </w:tc>
        <w:tc>
          <w:tcPr>
            <w:tcW w:type="dxa" w:w="0"/>
          </w:tcPr>
          <w:p>
            <w:r>
              <w:t>改进措施评估</w:t>
            </w:r>
          </w:p>
        </w:tc>
        <w:tc>
          <w:tcPr>
            <w:tcW w:type="dxa" w:w="0"/>
          </w:tcPr>
          <w:p>
            <w:r>
              <w:t>"去年引入报告双审，差错率降 0.3pp，有效"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资源充分性</w:t>
            </w:r>
          </w:p>
        </w:tc>
        <w:tc>
          <w:tcPr>
            <w:tcW w:type="dxa" w:w="0"/>
          </w:tcPr>
          <w:p>
            <w:r>
              <w:t>人力/设备/场地评估</w:t>
            </w:r>
          </w:p>
        </w:tc>
        <w:tc>
          <w:tcPr>
            <w:tcW w:type="dxa" w:w="0"/>
          </w:tcPr>
          <w:p>
            <w:r>
              <w:t>"关键设备稼动率 85%，峰值时段 2 台待补（见 c 项资源决议）"</w:t>
            </w:r>
          </w:p>
        </w:tc>
      </w:tr>
      <w:tr>
        <w:tc>
          <w:tcPr>
            <w:tcW w:type="dxa" w:w="0"/>
          </w:tcPr>
          <w:p>
            <w:r>
              <w:t>m</w:t>
            </w:r>
          </w:p>
        </w:tc>
        <w:tc>
          <w:tcPr>
            <w:tcW w:type="dxa" w:w="0"/>
          </w:tcPr>
          <w:p>
            <w:r>
              <w:t>风险识别</w:t>
            </w:r>
          </w:p>
        </w:tc>
        <w:tc>
          <w:tcPr>
            <w:tcW w:type="dxa" w:w="0"/>
          </w:tcPr>
          <w:p>
            <w:r>
              <w:t>风险机遇清单（§8.5）</w:t>
            </w:r>
          </w:p>
        </w:tc>
        <w:tc>
          <w:tcPr>
            <w:tcW w:type="dxa" w:w="0"/>
          </w:tcPr>
          <w:p>
            <w:r>
              <w:t>"识别风险 16 项，高 2 项均已有应对措施"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结果有效性输出</w:t>
            </w:r>
          </w:p>
        </w:tc>
        <w:tc>
          <w:tcPr>
            <w:tcW w:type="dxa" w:w="0"/>
          </w:tcPr>
          <w:p>
            <w:r>
              <w:t>能力验证/质控/期间核查</w:t>
            </w:r>
          </w:p>
        </w:tc>
        <w:tc>
          <w:tcPr>
            <w:tcW w:type="dxa" w:w="0"/>
          </w:tcPr>
          <w:p>
            <w:r>
              <w:t>"能力验证 8 次满意率 100%，质控在控率 98%"</w:t>
            </w:r>
          </w:p>
        </w:tc>
      </w:tr>
      <w:tr>
        <w:tc>
          <w:tcPr>
            <w:tcW w:type="dxa" w:w="0"/>
          </w:tcPr>
          <w:p>
            <w:r>
              <w:t>o</w:t>
            </w:r>
          </w:p>
        </w:tc>
        <w:tc>
          <w:tcPr>
            <w:tcW w:type="dxa" w:w="0"/>
          </w:tcPr>
          <w:p>
            <w:r>
              <w:t>其他（监控/培训）</w:t>
            </w:r>
          </w:p>
        </w:tc>
        <w:tc>
          <w:tcPr>
            <w:tcW w:type="dxa" w:w="0"/>
          </w:tcPr>
          <w:p>
            <w:r>
              <w:t>监控记录、培训矩阵</w:t>
            </w:r>
          </w:p>
        </w:tc>
        <w:tc>
          <w:tcPr>
            <w:tcW w:type="dxa" w:w="0"/>
          </w:tcPr>
          <w:p>
            <w:r>
              <w:t>"培训计划完成率 96%，监控预警 2 次均处置"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三 输入填报的好 / 差对照</w:t>
      </w:r>
    </w:p>
    <w:p>
      <w:pPr>
        <w:pStyle w:val="Heading2"/>
      </w:pPr>
    </w:p>
    <w:p>
      <w:r>
        <w:rPr>
          <w:b/>
        </w:rPr>
        <w:t>差：</w:t>
      </w:r>
      <w:r>
        <w:t>"a 内外部因素无重大变化；b 目标基本达成；e 内审情况良好。"——零数据、零证据，等于没填，开会无法决策。</w:t>
      </w:r>
    </w:p>
    <w:p>
      <w:r>
        <w:rPr>
          <w:b/>
        </w:rPr>
        <w:t>好：</w:t>
      </w:r>
      <w:r>
        <w:t>"b 目标：年度 6 项目标达成 5 项，未达成『报告按时率 95%』实际 92%，主因为年底扩项导致复核积压（见 h 项量增 18%），已作为议题 3 提交资源决议。"——有数字、有因果、有去向。</w:t>
      </w:r>
    </w:p>
    <w:p>
      <w:pPr>
        <w:pStyle w:val="Heading2"/>
      </w:pPr>
      <w:r>
        <w:t>四 会议主持操作要点</w:t>
      </w:r>
    </w:p>
    <w:p>
      <w:pPr>
        <w:pStyle w:val="Heading3"/>
      </w:pPr>
      <w:r>
        <w:t>4.1 会前</w:t>
      </w:r>
    </w:p>
    <w:p>
      <w:r>
        <w:t>① 提前 10 工作日发 MR-02，附输入清单与提交截止日；② 预审全部输入，标红"无数据/无结论"项退回补正；③ 汇总"待决议题清单"，按三性（适宜/充分/有效）+ 一致性四维度归类，避免会上跑题。</w:t>
      </w:r>
    </w:p>
    <w:p>
      <w:pPr>
        <w:pStyle w:val="Heading3"/>
      </w:pPr>
      <w:r>
        <w:t>4.2 会中</w:t>
      </w:r>
    </w:p>
    <w:p>
      <w:r>
        <w:t>① 最高管理者逐议题拍板，每个议题必须落到"决定 / 不决定 / 延期"三选一；② 记录人实时填 MR-04，争议点原话记录；③ 资源类（l、n 衍生）与变更类（c、d 衍生）议题是重点，须当场定责任人与时限。</w:t>
      </w:r>
    </w:p>
    <w:p>
      <w:pPr>
        <w:pStyle w:val="Heading3"/>
      </w:pPr>
      <w:r>
        <w:t>4.3 会后</w:t>
      </w:r>
    </w:p>
    <w:p>
      <w:r>
        <w:t>① 3 个工作日内完成 MR-04 签字确认；② 质量负责人据 MR-04 拟 MR-05，输出 4 项（a–d）逐项对应责任人/时限；③ 全部决议录入 MR-06。</w:t>
      </w:r>
    </w:p>
    <w:p>
      <w:pPr>
        <w:pStyle w:val="Heading2"/>
      </w:pPr>
      <w:r>
        <w:t>五 管理评审报告（MR-05）撰写模板</w:t>
      </w:r>
    </w:p>
    <w:p>
      <w:r>
        <w:t>报告结构建议：① 评审概况（时间、主持、范围）；② 输入综述（15 项逐条结论，引用证据编号）；③ 三性判定（适宜/充分/有效，各给一句话结论 + 支撑）；④ 输出决议（4 项 a–d，每项 = 决定 + 责任人 + 时限 + 验收标准）；⑤ 资源需求汇总；⑥ 下年目标建议。写法参照下面对照。</w:t>
      </w:r>
    </w:p>
    <w:p>
      <w:r>
        <w:rPr>
          <w:b/>
        </w:rPr>
        <w:t>差输出：</w:t>
      </w:r>
      <w:r>
        <w:t>"a 体系有效；b 需持续改进报告质量；c 建议增加设备；d 体系文件适时修订。"——全是方向，无法验收。</w:t>
      </w:r>
    </w:p>
    <w:p>
      <w:r>
        <w:rPr>
          <w:b/>
        </w:rPr>
        <w:t>好输出：</w:t>
      </w:r>
      <w:r>
        <w:t>"c 资源：新增气相色谱 1 台（预算 ¥XX 万），责任人技术负责人，2027-03-31 前到位并溯源；d 变更：将『报告按时率』目标由 95% 调为 93%（量增已常态化），2027 版质量目标同步修订，质量负责人 2026-12-31 前完成。"——决定明确、可验收。</w:t>
      </w:r>
    </w:p>
    <w:p>
      <w:pPr>
        <w:pStyle w:val="Heading2"/>
      </w:pPr>
      <w:r>
        <w:t>六 决议跟踪（MR-06）操作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步骤</w:t>
            </w:r>
          </w:p>
        </w:tc>
        <w:tc>
          <w:tcPr>
            <w:tcW w:type="dxa" w:w="0"/>
          </w:tcPr>
          <w:p>
            <w:r>
              <w:t>操作</w:t>
            </w:r>
          </w:p>
        </w:tc>
      </w:tr>
      <w:tr>
        <w:tc>
          <w:tcPr>
            <w:tcW w:type="dxa" w:w="0"/>
          </w:tcPr>
          <w:p>
            <w:r>
              <w:t>录入</w:t>
            </w:r>
          </w:p>
        </w:tc>
        <w:tc>
          <w:tcPr>
            <w:tcW w:type="dxa" w:w="0"/>
          </w:tcPr>
          <w:p>
            <w:r>
              <w:t>MR-05 发布 3 日内，将每条决议抄入 MR-06，生成决议编号 MR-ACT-[序号]</w:t>
            </w:r>
          </w:p>
        </w:tc>
      </w:tr>
      <w:tr>
        <w:tc>
          <w:tcPr>
            <w:tcW w:type="dxa" w:w="0"/>
          </w:tcPr>
          <w:p>
            <w:r>
              <w:t>跟踪</w:t>
            </w:r>
          </w:p>
        </w:tc>
        <w:tc>
          <w:tcPr>
            <w:tcW w:type="dxa" w:w="0"/>
          </w:tcPr>
          <w:p>
            <w:r>
              <w:t>质量负责人每月核对进度，责任人临近时限 5 日提醒</w:t>
            </w:r>
          </w:p>
        </w:tc>
      </w:tr>
      <w:tr>
        <w:tc>
          <w:tcPr>
            <w:tcW w:type="dxa" w:w="0"/>
          </w:tcPr>
          <w:p>
            <w:r>
              <w:t>验证</w:t>
            </w:r>
          </w:p>
        </w:tc>
        <w:tc>
          <w:tcPr>
            <w:tcW w:type="dxa" w:w="0"/>
          </w:tcPr>
          <w:p>
            <w:r>
              <w:t>完成后由质量负责人验证"决定是否落地、证据是否齐全"，勾选关闭</w:t>
            </w:r>
          </w:p>
        </w:tc>
      </w:tr>
      <w:tr>
        <w:tc>
          <w:tcPr>
            <w:tcW w:type="dxa" w:w="0"/>
          </w:tcPr>
          <w:p>
            <w:r>
              <w:t>闭环</w:t>
            </w:r>
          </w:p>
        </w:tc>
        <w:tc>
          <w:tcPr>
            <w:tcW w:type="dxa" w:w="0"/>
          </w:tcPr>
          <w:p>
            <w:r>
              <w:t>关闭情况作为下年管评输入 d 项；逾期无说明升级最高管理者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七 时间节点速查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节点</w:t>
            </w:r>
          </w:p>
        </w:tc>
        <w:tc>
          <w:tcPr>
            <w:tcW w:type="dxa" w:w="0"/>
          </w:tcPr>
          <w:p>
            <w:r>
              <w:t>时限</w:t>
            </w:r>
          </w:p>
        </w:tc>
      </w:tr>
      <w:tr>
        <w:tc>
          <w:tcPr>
            <w:tcW w:type="dxa" w:w="0"/>
          </w:tcPr>
          <w:p>
            <w:r>
              <w:t>例行评审间隔</w:t>
            </w:r>
          </w:p>
        </w:tc>
        <w:tc>
          <w:tcPr>
            <w:tcW w:type="dxa" w:w="0"/>
          </w:tcPr>
          <w:p>
            <w:r>
              <w:t>≤ 12 个月</w:t>
            </w:r>
          </w:p>
        </w:tc>
      </w:tr>
      <w:tr>
        <w:tc>
          <w:tcPr>
            <w:tcW w:type="dxa" w:w="0"/>
          </w:tcPr>
          <w:p>
            <w:r>
              <w:t>MR-02 通知发出</w:t>
            </w:r>
          </w:p>
        </w:tc>
        <w:tc>
          <w:tcPr>
            <w:tcW w:type="dxa" w:w="0"/>
          </w:tcPr>
          <w:p>
            <w:r>
              <w:t>会前 ≥ 10 个工作日</w:t>
            </w:r>
          </w:p>
        </w:tc>
      </w:tr>
      <w:tr>
        <w:tc>
          <w:tcPr>
            <w:tcW w:type="dxa" w:w="0"/>
          </w:tcPr>
          <w:p>
            <w:r>
              <w:t>输入材料提交</w:t>
            </w:r>
          </w:p>
        </w:tc>
        <w:tc>
          <w:tcPr>
            <w:tcW w:type="dxa" w:w="0"/>
          </w:tcPr>
          <w:p>
            <w:r>
              <w:t>会前 ≥ 5 个工作日（留预审时间）</w:t>
            </w:r>
          </w:p>
        </w:tc>
      </w:tr>
      <w:tr>
        <w:tc>
          <w:tcPr>
            <w:tcW w:type="dxa" w:w="0"/>
          </w:tcPr>
          <w:p>
            <w:r>
              <w:t>MR-04 签字确认</w:t>
            </w:r>
          </w:p>
        </w:tc>
        <w:tc>
          <w:tcPr>
            <w:tcW w:type="dxa" w:w="0"/>
          </w:tcPr>
          <w:p>
            <w:r>
              <w:t>会后 ≤ 3 个工作日</w:t>
            </w:r>
          </w:p>
        </w:tc>
      </w:tr>
      <w:tr>
        <w:tc>
          <w:tcPr>
            <w:tcW w:type="dxa" w:w="0"/>
          </w:tcPr>
          <w:p>
            <w:r>
              <w:t>MR-05 发布</w:t>
            </w:r>
          </w:p>
        </w:tc>
        <w:tc>
          <w:tcPr>
            <w:tcW w:type="dxa" w:w="0"/>
          </w:tcPr>
          <w:p>
            <w:r>
              <w:t>会后 ≤ 10 个工作日</w:t>
            </w:r>
          </w:p>
        </w:tc>
      </w:tr>
      <w:tr>
        <w:tc>
          <w:tcPr>
            <w:tcW w:type="dxa" w:w="0"/>
          </w:tcPr>
          <w:p>
            <w:r>
              <w:t>MR-06 录入</w:t>
            </w:r>
          </w:p>
        </w:tc>
        <w:tc>
          <w:tcPr>
            <w:tcW w:type="dxa" w:w="0"/>
          </w:tcPr>
          <w:p>
            <w:r>
              <w:t>MR-05 发布后 3 日内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八 各输入项填报示例库（逐条示范，可直接套用）</w:t>
      </w:r>
    </w:p>
    <w:p>
      <w:pPr>
        <w:pStyle w:val="Heading2"/>
      </w:pPr>
    </w:p>
    <w:p>
      <w:r>
        <w:t>下列示例给出每类输入"数据 + 证据 + 结论"的完整写法，供填报人参照，避免只写"正常"。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项</w:t>
            </w:r>
          </w:p>
        </w:tc>
        <w:tc>
          <w:tcPr>
            <w:tcW w:type="dxa" w:w="0"/>
          </w:tcPr>
          <w:p>
            <w:r>
              <w:t>输入</w:t>
            </w:r>
          </w:p>
        </w:tc>
        <w:tc>
          <w:tcPr>
            <w:tcW w:type="dxa" w:w="0"/>
          </w:tcPr>
          <w:p>
            <w:r>
              <w:t>完整填报示范</w:t>
            </w:r>
          </w:p>
        </w:tc>
      </w:tr>
      <w:tr>
        <w:tc>
          <w:tcPr>
            <w:tcW w:type="dxa" w:w="0"/>
          </w:tcPr>
          <w:p>
            <w:r>
              <w:t>a</w:t>
            </w:r>
          </w:p>
        </w:tc>
        <w:tc>
          <w:tcPr>
            <w:tcW w:type="dxa" w:w="0"/>
          </w:tcPr>
          <w:p>
            <w:r>
              <w:t>内外部因素变化</w:t>
            </w:r>
          </w:p>
        </w:tc>
        <w:tc>
          <w:tcPr>
            <w:tcW w:type="dxa" w:w="0"/>
          </w:tcPr>
          <w:p>
            <w:r>
              <w:t>"本年法规：新《计量法》实施细则 3 月施行，已启动 2 份程序修订（证据：文件修订台账 RT-2026-03）；市场：新能源客户新增 6 家，均未超出当前能力范围。结论：体系已及时响应，适宜性无重大风险。"</w:t>
            </w:r>
          </w:p>
        </w:tc>
      </w:tr>
      <w:tr>
        <w:tc>
          <w:tcPr>
            <w:tcW w:type="dxa" w:w="0"/>
          </w:tcPr>
          <w:p>
            <w:r>
              <w:t>b</w:t>
            </w:r>
          </w:p>
        </w:tc>
        <w:tc>
          <w:tcPr>
            <w:tcW w:type="dxa" w:w="0"/>
          </w:tcPr>
          <w:p>
            <w:r>
              <w:t>目标实现</w:t>
            </w:r>
          </w:p>
        </w:tc>
        <w:tc>
          <w:tcPr>
            <w:tcW w:type="dxa" w:w="0"/>
          </w:tcPr>
          <w:p>
            <w:r>
              <w:t>"年度 6 项目标：报告准确率 100%、报告按时率 95%、能力验证满意率 100%、客户满意度 ≥90、设备溯源率 100%、培训完成率 ≥95。达成 5 项，未达成『报告按时率 95%』实际 92.3%（证据：目标统计表 OB-2026）。差距主因扩项致复核积压，已提议题 T1。"</w:t>
            </w:r>
          </w:p>
        </w:tc>
      </w:tr>
      <w:tr>
        <w:tc>
          <w:tcPr>
            <w:tcW w:type="dxa" w:w="0"/>
          </w:tcPr>
          <w:p>
            <w:r>
              <w:t>e</w:t>
            </w:r>
          </w:p>
        </w:tc>
        <w:tc>
          <w:tcPr>
            <w:tcW w:type="dxa" w:w="0"/>
          </w:tcPr>
          <w:p>
            <w:r>
              <w:t>内审结果</w:t>
            </w:r>
          </w:p>
        </w:tc>
        <w:tc>
          <w:tcPr>
            <w:tcW w:type="dxa" w:w="0"/>
          </w:tcPr>
          <w:p>
            <w:r>
              <w:t>"年内完成 1 次例行内审（证据：FR-25 / IA-05），覆盖 §4–§8 全要素，开不符合 5 项均判一般（集中于 §6.4 设备标识、§7.7 报告复核）；审核结论：体系符合且持续有效。改进机会 2 项已列入下年计划。"</w:t>
            </w:r>
          </w:p>
        </w:tc>
      </w:tr>
      <w:tr>
        <w:tc>
          <w:tcPr>
            <w:tcW w:type="dxa" w:w="0"/>
          </w:tcPr>
          <w:p>
            <w:r>
              <w:t>l</w:t>
            </w:r>
          </w:p>
        </w:tc>
        <w:tc>
          <w:tcPr>
            <w:tcW w:type="dxa" w:w="0"/>
          </w:tcPr>
          <w:p>
            <w:r>
              <w:t>资源充分性</w:t>
            </w:r>
          </w:p>
        </w:tc>
        <w:tc>
          <w:tcPr>
            <w:tcW w:type="dxa" w:w="0"/>
          </w:tcPr>
          <w:p>
            <w:r>
              <w:t>"人员：关键技术岗 1 人年内离职，已补岗并完成授权（证据：培训记录 TR-2026-11）；设备：气相色谱平均稼动率 85%，3 月、11 月两度排队超 3 天（证据：设备使用日志）；场地：现有实验区可支撑当前量。结论：设备存在峰值瓶颈，建议增配（见议题 T2）。"</w:t>
            </w:r>
          </w:p>
        </w:tc>
      </w:tr>
      <w:tr>
        <w:tc>
          <w:tcPr>
            <w:tcW w:type="dxa" w:w="0"/>
          </w:tcPr>
          <w:p>
            <w:r>
              <w:t>n</w:t>
            </w:r>
          </w:p>
        </w:tc>
        <w:tc>
          <w:tcPr>
            <w:tcW w:type="dxa" w:w="0"/>
          </w:tcPr>
          <w:p>
            <w:r>
              <w:t>结果有效性输出</w:t>
            </w:r>
          </w:p>
        </w:tc>
        <w:tc>
          <w:tcPr>
            <w:tcW w:type="dxa" w:w="0"/>
          </w:tcPr>
          <w:p>
            <w:r>
              <w:t>"能力验证：参加 8 次（理化 5、力学 3），满意 8 次，满意率 100%（证据：PT 证书）；内部质控：运用质控样/留样复测，在控率 98%（1 次预警已处置）；期间核查：计划 24 台次完成 24 台次，完成率 100%。结论：结果有效性有保障。"</w:t>
            </w:r>
          </w:p>
        </w:tc>
      </w:tr>
      <w:tr>
        <w:tc>
          <w:tcPr>
            <w:tcW w:type="dxa" w:w="0"/>
          </w:tcPr>
          <w:p>
            <w:r>
              <w:t>j</w:t>
            </w:r>
          </w:p>
        </w:tc>
        <w:tc>
          <w:tcPr>
            <w:tcW w:type="dxa" w:w="0"/>
          </w:tcPr>
          <w:p>
            <w:r>
              <w:t>投诉</w:t>
            </w:r>
          </w:p>
        </w:tc>
        <w:tc>
          <w:tcPr>
            <w:tcW w:type="dxa" w:w="0"/>
          </w:tcPr>
          <w:p>
            <w:r>
              <w:t>"年内受理投诉 3 起，均属报告格式类（证据：投诉台账 CM-2026），按 §7.9 均在 5 工作日内答复并闭环，无同一客户重复投诉，无升级。结论：投诉处理机制有效。"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套用提示：</w:t>
      </w:r>
      <w:r>
        <w:t>上表仅示范 6 项，其余 9 项（c/d/f/g/h/i/k/m/o）的填写逻辑相同——先列数据，再附证据编号，最后给结论。填报人按 MR-03 逐行套用即可，不必照抄示例数字。</w:t>
      </w:r>
    </w:p>
    <w:p>
      <w:pPr>
        <w:pStyle w:val="Heading2"/>
      </w:pPr>
      <w:r>
        <w:t>九 报告与决议撰写检查单（发布前自检）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自检项</w:t>
            </w:r>
          </w:p>
        </w:tc>
        <w:tc>
          <w:tcPr>
            <w:tcW w:type="dxa" w:w="0"/>
          </w:tcPr>
          <w:p>
            <w:r>
              <w:t>结果</w:t>
            </w:r>
          </w:p>
        </w:tc>
      </w:tr>
      <w:tr>
        <w:tc>
          <w:tcPr>
            <w:tcW w:type="dxa" w:w="0"/>
          </w:tcPr>
          <w:p>
            <w:r>
              <w:t>MR-03 的 15 项输入是否全部有数据 + 证据编号 + 结论</w:t>
            </w:r>
          </w:p>
        </w:tc>
        <w:tc>
          <w:tcPr>
            <w:tcW w:type="dxa" w:w="0"/>
          </w:tcPr>
          <w:p>
            <w:r>
              <w:t>□ 是 □ 否（__ 项缺失）</w:t>
            </w:r>
          </w:p>
        </w:tc>
      </w:tr>
      <w:tr>
        <w:tc>
          <w:tcPr>
            <w:tcW w:type="dxa" w:w="0"/>
          </w:tcPr>
          <w:p>
            <w:r>
              <w:t>MR-04 是否逐议题有"决定/不决定/延期"结论</w:t>
            </w:r>
          </w:p>
        </w:tc>
        <w:tc>
          <w:tcPr>
            <w:tcW w:type="dxa" w:w="0"/>
          </w:tcPr>
          <w:p>
            <w:r>
              <w:t>□ 是 □ 否</w:t>
            </w:r>
          </w:p>
        </w:tc>
      </w:tr>
      <w:tr>
        <w:tc>
          <w:tcPr>
            <w:tcW w:type="dxa" w:w="0"/>
          </w:tcPr>
          <w:p>
            <w:r>
              <w:t>MR-05 的 a–d 输出是否每项都含责任人 + 时限 + 验收标准</w:t>
            </w:r>
          </w:p>
        </w:tc>
        <w:tc>
          <w:tcPr>
            <w:tcW w:type="dxa" w:w="0"/>
          </w:tcPr>
          <w:p>
            <w:r>
              <w:t>□ 是 □ 否（__ 项缺失）</w:t>
            </w:r>
          </w:p>
        </w:tc>
      </w:tr>
      <w:tr>
        <w:tc>
          <w:tcPr>
            <w:tcW w:type="dxa" w:w="0"/>
          </w:tcPr>
          <w:p>
            <w:r>
              <w:t>MR-06 是否已将 MR-05 全部决议建账</w:t>
            </w:r>
          </w:p>
        </w:tc>
        <w:tc>
          <w:tcPr>
            <w:tcW w:type="dxa" w:w="0"/>
          </w:tcPr>
          <w:p>
            <w:r>
              <w:t>□ 是 □ 否</w:t>
            </w:r>
          </w:p>
        </w:tc>
      </w:tr>
      <w:tr>
        <w:tc>
          <w:tcPr>
            <w:tcW w:type="dxa" w:w="0"/>
          </w:tcPr>
          <w:p>
            <w:r>
              <w:t>三性（适宜/充分/有效）结论是否各有一句话 + 支撑证据</w:t>
            </w:r>
          </w:p>
        </w:tc>
        <w:tc>
          <w:tcPr>
            <w:tcW w:type="dxa" w:w="0"/>
          </w:tcPr>
          <w:p>
            <w:r>
              <w:t>□ 是 □ 否</w:t>
            </w:r>
          </w:p>
        </w:tc>
      </w:tr>
      <w:tr>
        <w:tc>
          <w:tcPr>
            <w:tcW w:type="dxa" w:w="0"/>
          </w:tcPr>
          <w:p>
            <w:r>
              <w:t>记录签字是否完整（主持/记录/质量负责人）</w:t>
            </w:r>
          </w:p>
        </w:tc>
        <w:tc>
          <w:tcPr>
            <w:tcW w:type="dxa" w:w="0"/>
          </w:tcPr>
          <w:p>
            <w:r>
              <w:t>□ 是 □ 否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易错提醒：</w:t>
      </w:r>
      <w:r>
        <w:t>① 输入只念内审报告（漏 14 项）→ 用 MR-03 强制逐行填；② 输出无责任人/时限 → 用 MR-05 模板"决定+责任人+时限"三要素；③ 决议不跟踪 → MR-06 每月核对并作为来年输入 d；④ 记录保存不足一个认可周期 → 归档时标注保存期限。 十 管理评审常见疑问解答</w:t>
      </w:r>
    </w:p>
    <w:p>
      <w:pPr>
        <w:pStyle w:val="Heading2"/>
      </w:pPr>
    </w:p>
    <w:p>
      <w:r>
        <w:rPr>
          <w:b/>
        </w:rPr>
        <w:t>问：管理评审和内审有什么区别？</w:t>
      </w:r>
      <w:r>
        <w:t>答：内审是向下看，检查体系是否按要求运行；管理评审是向上看，由最高管理者判断体系是否还适宜、充分、有效，并决定资源与变更。内审报告是管理评审的关键输入之一。</w:t>
      </w:r>
    </w:p>
    <w:p>
      <w:r>
        <w:rPr>
          <w:b/>
        </w:rPr>
        <w:t>问：小实验室也要这么复杂吗？</w:t>
      </w:r>
      <w:r>
        <w:t>答：流程可以适当精简，但十五项输入和四项输出不能省，否则结论无依据。人员少的实验室可合并填报职责，但证据仍须齐全。</w:t>
      </w:r>
    </w:p>
    <w:p>
      <w:r>
        <w:rPr>
          <w:b/>
        </w:rPr>
        <w:t>问：输入数据从哪来？</w:t>
      </w:r>
      <w:r>
        <w:t>答：日常记录就是来源，目标统计表、文件台账、投诉台账、能力验证证书、设备日志、培训记录等。管理评审不是临时凑数据，而是把平时已产生的记录按十五项归类呈现。</w:t>
      </w:r>
    </w:p>
    <w:p>
      <w:r>
        <w:rPr>
          <w:b/>
        </w:rPr>
        <w:t>问：决议完不成怎么办？</w:t>
      </w:r>
      <w:r>
        <w:t>答：在跟踪表标注逾期并升级最高管理者；若确因客观原因无法按期，应在下年输入项中说明并重新排期，不能悄悄拖延。</w:t>
      </w:r>
    </w:p>
    <w:p>
      <w:pPr>
        <w:pStyle w:val="Heading2"/>
      </w:pPr>
      <w:r>
        <w:t>十一 输入数据质量自检口诀</w:t>
      </w:r>
    </w:p>
    <w:p>
      <w:r>
        <w:t>填报人提交前可用四句口诀自检：一查有没有数据，空话套话一律退回；二查有没有编号，结论须能追溯到原始记录；三查有没有结论，只堆数据不算完成；四查有没有时限，涉及资源的要写明节点。四句都过关，输入才算合格。质量负责人预审时也按这四句逐行核对，可把绝大部分形式化问题挡在会议之前，确保管理评审真正聚焦于决策而非补漏。</w:t>
      </w:r>
    </w:p>
    <w:p>
      <w:pPr>
        <w:pStyle w:val="Heading2"/>
      </w:pPr>
      <w:r>
        <w:t>十二 输入准备的常见时间陷阱</w:t>
      </w:r>
    </w:p>
    <w:p>
      <w:r>
        <w:t>输入准备最容易出现的时间陷阱有两个。一是临时凑数，临近会议才收集数据，导致只能填"正常"二字。破解办法是严格按准备日历倒排，把十五项任务分解到月，日常积累、会前汇总。二是数据过期，用了上年甚至更早的统计，无法反映本年真实状况。破解办法是每项输入都标注统计周期，质量负责人预审时核对时间范围，过期一律退回重做。</w:t>
      </w:r>
    </w:p>
    <w:p>
      <w:r>
        <w:t>另一个隐蔽陷阱是责任悬空。某项输入写着"由相关部门提供"，却无人签字认领，会上发现没人负责。破解办法是在准备日历中明确每一项的主责部门与提交人，会前确认已交。还有证据断链陷阱：结论写了"体系有效"，却给不出任何数据或记录编号，评审员无法采信。破解办法是强制结论配证据，无证据的结论视为无效输入。</w:t>
      </w:r>
    </w:p>
    <w:p>
      <w:r>
        <w:t>最后提醒，输入材料的格式统一也很重要。建议各部门按本指导书第二节的模板填写，统一用"数据加证据加结论"三段式，避免有的写散文、有的只贴图表。格式统一后，质量负责人汇总效率大幅提升，最高管理者阅读也更快抓住重点。这才是专业实验室应有的管理评审准备水平。输入质量决定评审质量，值得多花一周认真准备。</w:t>
      </w:r>
    </w:p>
    <w:p>
      <w:r>
        <w:t>MR-WI-01 管理评审作业指导书 · LabKitPro 管理评审整套资料包（中文版 v1.0）</w:t>
        <w:br/>
        <w:t>配套 LP-09 · 依据 ISO/IEC 17025:2017 §8.9 编制 · 付费模板，仅限购买方实验室内部使用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