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MR-02 Management Review Notice &amp; Implementation Plan | LabKitPro Management Review Pack :root{--ink:#10202e;--ink2:#38505f;--muted:#5d7180;--bg:#f6f8fa;--card:#fff;--line:#dde5eb;--brand:#0f2f4a;--accent:#0e8f7d;--accent2:#1b6ea8;--warn:#a35b1a} *{box-sizing:border-box;margin:0;padding:0} body{font-family:"Inter","Segoe UI","Helvetica Neue",-apple-system,sans-serif;background:var(--bg);color:var(--ink);line-height:1.8;font-size:15px} .wrap{max-width:1080px;margin:0 auto;padding:0 24px 80px} header.hero{background:linear-gradient(135deg,#0f2f4a 0%,#16456b 60%,#1b6ea8 100%);color:#fff;padding:44px 24px 34px;margin-bottom:28px} .hero-inner{max-width:1080px;margin:0 auto} .kicker{font-size:13px;letter-spacing:2px;color:#8fd8cb;text-transform:uppercase;margin-bottom:10px} h1{font-size:28px;font-weight:800;margin-bottom:10px} .sub{font-size:14.5px;color:#cfe0ec;max-width:820px} .badge-row{margin-top:16px;display:flex;flex-wrap:wrap;gap:8px} .badge{font-size:12px;padding:4px 12px;border-radius:999px;background:rgba(255,255,255,.12);border:1px solid rgba(255,255,255,.25);color:#e8f2fa} h2{font-size:20px;font-weight:800;color:var(--brand);margin:36px 0 8px;padding-top:8px;border-top:2px solid #e3ecf2} table{width:100%;border-collapse:collapse;margin:10px 0 6px;font-size:13px;table-layout:fixed} th{background:#eef3f7;color:var(--ink2);font-weight:700;text-align:left;padding:8px;border:1px solid var(--line)} td{padding:8px;border:1px solid var(--line);vertical-align:top} .fill tbody td{background:#fff} .note{background:#fff8ec;border:1px solid #f0d9b8;border-radius:10px;padding:12px 16px;font-size:13px;color:#6b5320;margin:14px 0} .note b{color:#a35b1a} .foot{margin-top:48px;padding-top:18px;border-top:1px solid var(--line);color:var(--muted);font-size:12.5px;text-align:center} .ph{color:#98a8b6} @media(max-width:760px){h1{font-size:22px}table{font-size:12px;min-width:520px}th,td{padding:5px}.wrap{padding:0 14px 60px}} LabKitPro · Management Review Records · Pairs with LP-09 §5.3 Management Review Notice &amp; Implementation Plan</w:t>
      </w:r>
    </w:p>
    <w:p>
      <w:pPr>
        <w:pStyle w:val="Heading1"/>
      </w:pPr>
    </w:p>
    <w:p>
      <w:r>
        <w:t>Issued at least 10 working days before the meeting, specifying the meeting time, attendees, agenda and the “issues to be decided” list — keeping the meeting focused on decisions rather than briefings. Doc No. MR-02 Version V1.0 Corresponds to §8.9.1 / §8.9.2 Issued ≥10 working days ahead 1 Meeting Notice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Meeting title</w:t>
            </w:r>
          </w:p>
        </w:tc>
        <w:tc>
          <w:tcPr>
            <w:tcW w:type="dxa" w:w="0"/>
          </w:tcPr>
          <w:p>
            <w:r>
              <w:t>[20XX] Annual Management Review Meeting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Meeting time</w:t>
            </w:r>
          </w:p>
        </w:tc>
        <w:tc>
          <w:tcPr>
            <w:tcW w:type="dxa" w:w="0"/>
          </w:tcPr>
          <w:p>
            <w:r>
              <w:t>[YYYY-MM-DD HH:MM]</w:t>
            </w:r>
          </w:p>
        </w:tc>
        <w:tc>
          <w:tcPr>
            <w:tcW w:type="dxa" w:w="0"/>
          </w:tcPr>
          <w:p>
            <w:r>
              <w:t>Venue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Chair</w:t>
            </w:r>
          </w:p>
        </w:tc>
        <w:tc>
          <w:tcPr>
            <w:tcW w:type="dxa" w:w="0"/>
          </w:tcPr>
          <w:p>
            <w:r>
              <w:t>Top management</w:t>
            </w:r>
          </w:p>
        </w:tc>
        <w:tc>
          <w:tcPr>
            <w:tcW w:type="dxa" w:w="0"/>
          </w:tcPr>
          <w:p>
            <w:r>
              <w:t>Minutes taker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Attendees</w:t>
            </w:r>
          </w:p>
        </w:tc>
        <w:tc>
          <w:tcPr>
            <w:tcW w:type="dxa" w:w="0"/>
          </w:tcPr>
          <w:p>
            <w:r>
              <w:t>[Top management, Quality Manager, Technical Manager, heads of departments, authorised signatory representatives]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  <w:tr>
        <w:tc>
          <w:tcPr>
            <w:tcW w:type="dxa" w:w="0"/>
          </w:tcPr>
          <w:p>
            <w:r>
              <w:t>Also attending</w:t>
            </w:r>
          </w:p>
        </w:tc>
        <w:tc>
          <w:tcPr>
            <w:tcW w:type="dxa" w:w="0"/>
          </w:tcPr>
          <w:p>
            <w:r>
              <w:t>[Additional personnel as needed]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2 Material Submission Requirements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0"/>
          </w:tcPr>
          <w:p>
            <w:r>
              <w:t xml:space="preserve">Each department shall submit the 15 inputs (§8.9.2 a)–o)) via MR-03 and MR-07 by </w:t>
              <w:t>[5 working days before the meeting]</w:t>
              <w:t>. Each input must include “data + evidence reference + conclusion”. Overdue submissions or those stating only “normal” will be returned for correction.</w:t>
            </w:r>
          </w:p>
        </w:tc>
      </w:tr>
    </w:tbl>
    <w:p>
      <w:r>
        <w:t xml:space="preserve"> 3 Meeting Agenda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No.</w:t>
            </w:r>
          </w:p>
        </w:tc>
        <w:tc>
          <w:tcPr>
            <w:tcW w:type="dxa" w:w="0"/>
          </w:tcPr>
          <w:p>
            <w:r>
              <w:t>Agenda item</w:t>
            </w:r>
          </w:p>
        </w:tc>
        <w:tc>
          <w:tcPr>
            <w:tcW w:type="dxa" w:w="0"/>
          </w:tcPr>
          <w:p>
            <w:r>
              <w:t>Presenter</w:t>
            </w:r>
          </w:p>
        </w:tc>
        <w:tc>
          <w:tcPr>
            <w:tcW w:type="dxa" w:w="0"/>
          </w:tcPr>
          <w:p>
            <w:r>
              <w:t>Duration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State the purpose, scope and basis of the review (§8.9.1)</w:t>
            </w:r>
          </w:p>
        </w:tc>
        <w:tc>
          <w:tcPr>
            <w:tcW w:type="dxa" w:w="0"/>
          </w:tcPr>
          <w:p>
            <w:r>
              <w:t>Top management</w:t>
            </w:r>
          </w:p>
        </w:tc>
        <w:tc>
          <w:tcPr>
            <w:tcW w:type="dxa" w:w="0"/>
          </w:tcPr>
          <w:p>
            <w:r>
              <w:t>10 min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Internal audit results and system conformity/effectiveness conclusions (item e, FR-25)</w:t>
            </w:r>
          </w:p>
        </w:tc>
        <w:tc>
          <w:tcPr>
            <w:tcW w:type="dxa" w:w="0"/>
          </w:tcPr>
          <w:p>
            <w:r>
              <w:t>Audit team leader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Objective attainment and appropriateness of policies/procedures (items b/c)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Validity of results and adequacy of resources (items n/l)</w:t>
            </w:r>
          </w:p>
        </w:tc>
        <w:tc>
          <w:tcPr>
            <w:tcW w:type="dxa" w:w="0"/>
          </w:tcPr>
          <w:p>
            <w:r>
              <w:t>Technical Manager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External assessments, complaints, feedback, risks (items g/i/j/m)</w:t>
            </w:r>
          </w:p>
        </w:tc>
        <w:tc>
          <w:tcPr>
            <w:tcW w:type="dxa" w:w="0"/>
          </w:tcPr>
          <w:p>
            <w:r>
              <w:t>Relevant departments</w:t>
            </w:r>
          </w:p>
        </w:tc>
        <w:tc>
          <w:tcPr>
            <w:tcW w:type="dxa" w:w="0"/>
          </w:tcPr>
          <w:p>
            <w:r>
              <w:t>15 min</w:t>
            </w:r>
          </w:p>
        </w:tc>
      </w:tr>
      <w:tr>
        <w:tc>
          <w:tcPr>
            <w:tcW w:type="dxa" w:w="0"/>
          </w:tcPr>
          <w:p>
            <w:r>
              <w:t>6</w:t>
            </w:r>
          </w:p>
        </w:tc>
        <w:tc>
          <w:tcPr>
            <w:tcW w:type="dxa" w:w="0"/>
          </w:tcPr>
          <w:p>
            <w:r>
              <w:t>Status of previous measures (item d) + effectiveness of improvements (item k)</w:t>
            </w:r>
          </w:p>
        </w:tc>
        <w:tc>
          <w:tcPr>
            <w:tcW w:type="dxa" w:w="0"/>
          </w:tcPr>
          <w:p>
            <w:r>
              <w:t>Quality Manager</w:t>
            </w:r>
          </w:p>
        </w:tc>
        <w:tc>
          <w:tcPr>
            <w:tcW w:type="dxa" w:w="0"/>
          </w:tcPr>
          <w:p>
            <w:r>
              <w:t>10 min</w:t>
            </w:r>
          </w:p>
        </w:tc>
      </w:tr>
      <w:tr>
        <w:tc>
          <w:tcPr>
            <w:tcW w:type="dxa" w:w="0"/>
          </w:tcPr>
          <w:p>
            <w:r>
              <w:t>7</w:t>
            </w:r>
          </w:p>
        </w:tc>
        <w:tc>
          <w:tcPr>
            <w:tcW w:type="dxa" w:w="0"/>
          </w:tcPr>
          <w:p>
            <w:r>
              <w:t>Decision on each issue to be decided (forming outputs §8.9.3 a)–d))</w:t>
            </w:r>
          </w:p>
        </w:tc>
        <w:tc>
          <w:tcPr>
            <w:tcW w:type="dxa" w:w="0"/>
          </w:tcPr>
          <w:p>
            <w:r>
              <w:t>Top management</w:t>
            </w:r>
          </w:p>
        </w:tc>
        <w:tc>
          <w:tcPr>
            <w:tcW w:type="dxa" w:w="0"/>
          </w:tcPr>
          <w:p>
            <w:r>
              <w:t>30 min</w:t>
            </w:r>
          </w:p>
        </w:tc>
      </w:tr>
      <w:tr>
        <w:tc>
          <w:tcPr>
            <w:tcW w:type="dxa" w:w="0"/>
          </w:tcPr>
          <w:p>
            <w:r>
              <w:t>8</w:t>
            </w:r>
          </w:p>
        </w:tc>
        <w:tc>
          <w:tcPr>
            <w:tcW w:type="dxa" w:w="0"/>
          </w:tcPr>
          <w:p>
            <w:r>
              <w:t>Meeting summary and follow-up actions</w:t>
            </w:r>
          </w:p>
        </w:tc>
        <w:tc>
          <w:tcPr>
            <w:tcW w:type="dxa" w:w="0"/>
          </w:tcPr>
          <w:p>
            <w:r>
              <w:t>Top management</w:t>
            </w:r>
          </w:p>
        </w:tc>
        <w:tc>
          <w:tcPr>
            <w:tcW w:type="dxa" w:w="0"/>
          </w:tcPr>
          <w:p>
            <w:r>
              <w:t>10 min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4 Issues to Be Decided (prepared during pre-review)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No.</w:t>
            </w:r>
          </w:p>
        </w:tc>
        <w:tc>
          <w:tcPr>
            <w:tcW w:type="dxa" w:w="0"/>
          </w:tcPr>
          <w:p>
            <w:r>
              <w:t>Issue</w:t>
            </w:r>
          </w:p>
        </w:tc>
        <w:tc>
          <w:tcPr>
            <w:tcW w:type="dxa" w:w="0"/>
          </w:tcPr>
          <w:p>
            <w:r>
              <w:t>Related input</w:t>
            </w:r>
          </w:p>
        </w:tc>
        <w:tc>
          <w:tcPr>
            <w:tcW w:type="dxa" w:w="0"/>
          </w:tcPr>
          <w:p>
            <w:r>
              <w:t>Proposed decision</w:t>
            </w:r>
          </w:p>
        </w:tc>
      </w:tr>
      <w:tr>
        <w:tc>
          <w:tcPr>
            <w:tcW w:type="dxa" w:w="0"/>
          </w:tcPr>
          <w:p>
            <w:r>
              <w:t>T1</w:t>
            </w:r>
          </w:p>
        </w:tc>
        <w:tc>
          <w:tcPr>
            <w:tcW w:type="dxa" w:w="0"/>
          </w:tcPr>
          <w:p>
            <w:r>
              <w:t>[e.g. on-time reporting below target — adjust objective or add resources]</w:t>
            </w:r>
          </w:p>
        </w:tc>
        <w:tc>
          <w:tcPr>
            <w:tcW w:type="dxa" w:w="0"/>
          </w:tcPr>
          <w:p>
            <w:r>
              <w:t>b/h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T2</w:t>
            </w:r>
          </w:p>
        </w:tc>
        <w:tc>
          <w:tcPr>
            <w:tcW w:type="dxa" w:w="0"/>
          </w:tcPr>
          <w:p>
            <w:r>
              <w:t>[e.g. key equipment utilisation high — add capacity]</w:t>
            </w:r>
          </w:p>
        </w:tc>
        <w:tc>
          <w:tcPr>
            <w:tcW w:type="dxa" w:w="0"/>
          </w:tcPr>
          <w:p>
            <w:r>
              <w:t>l/n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T3</w:t>
            </w:r>
          </w:p>
        </w:tc>
        <w:tc>
          <w:tcPr>
            <w:tcW w:type="dxa" w:w="0"/>
          </w:tcPr>
          <w:p>
            <w:r>
              <w:t>[e.g. revise system documents after scope extension]</w:t>
            </w:r>
          </w:p>
        </w:tc>
        <w:tc>
          <w:tcPr>
            <w:tcW w:type="dxa" w:w="0"/>
          </w:tcPr>
          <w:p>
            <w:r>
              <w:t>c/h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  <w:tr>
        <w:tc>
          <w:tcPr>
            <w:tcW w:type="dxa" w:w="0"/>
          </w:tcPr>
          <w:p>
            <w:r>
              <w:t>T4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  <w:tc>
          <w:tcPr>
            <w:tcW w:type="dxa" w:w="0"/>
          </w:tcPr>
          <w:p>
            <w:r>
              <w:t>[ ]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5 Issue and Acknowledgment</w:t>
      </w:r>
    </w:p>
    <w:p>
      <w:pPr>
        <w:pStyle w:val="Heading2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Prepared (Quality Manager)</w:t>
            </w:r>
          </w:p>
        </w:tc>
        <w:tc>
          <w:tcPr>
            <w:tcW w:type="dxa" w:w="0"/>
          </w:tcPr>
          <w:p>
            <w:r>
              <w:t>Signature / date</w:t>
            </w:r>
          </w:p>
        </w:tc>
        <w:tc>
          <w:tcPr>
            <w:tcW w:type="dxa" w:w="0"/>
          </w:tcPr>
          <w:p>
            <w:r>
              <w:t>Distribution</w:t>
            </w:r>
          </w:p>
        </w:tc>
        <w:tc>
          <w:tcPr>
            <w:tcW w:type="dxa" w:w="0"/>
          </w:tcPr>
          <w:p>
            <w:r>
              <w:t>All attendees + relevant departments</w:t>
            </w:r>
          </w:p>
        </w:tc>
      </w:tr>
      <w:tr>
        <w:tc>
          <w:tcPr>
            <w:tcW w:type="dxa" w:w="0"/>
          </w:tcPr>
          <w:p>
            <w:r>
              <w:t>Acknowledgment</w:t>
            </w:r>
          </w:p>
        </w:tc>
        <w:tc>
          <w:tcPr>
            <w:tcW w:type="dxa" w:w="0"/>
          </w:tcPr>
          <w:p>
            <w:r>
              <w:t>[Department sign-off or read receipt in the system]</w:t>
            </w:r>
          </w:p>
        </w:tc>
        <w:tc>
          <w:tcPr>
            <w:tcW w:type="dxa" w:w="0"/>
          </w:tcPr>
          <w:p/>
        </w:tc>
        <w:tc>
          <w:tcPr>
            <w:tcW w:type="dxa" w:w="0"/>
          </w:tcPr>
          <w:p/>
        </w:tc>
      </w:tr>
    </w:tbl>
    <w:p>
      <w:r>
        <w:t xml:space="preserve"> </w:t>
      </w:r>
    </w:p>
    <w:p>
      <w:r>
        <w:t xml:space="preserve"> </w:t>
      </w:r>
      <w:r>
        <w:rPr>
          <w:b/>
        </w:rPr>
        <w:t>Note:</w:t>
      </w:r>
      <w:r>
        <w:t xml:space="preserve"> the “issues to be decided” list is the key to keeping the meeting on track. Before the meeting, the Quality Manager must pre-review all inputs, select the items requiring top-management decisions as T1–Tn, and the meeting only decides on these items — informational content is simply briefed.</w:t>
        <w:t xml:space="preserve"> </w:t>
        <w:t>MR-02 Management Review Notice &amp; Implementation Plan · LabKitPro Management Review Complete Pack (English Version v1.0)</w:t>
        <w:br/>
        <w:t>Prepared in accordance with ISO/IEC 17025:2017 · Paid template for internal use by the purchasing laboratory only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