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MR-05 Management Review Report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.concl{background:#eef5fb;border:1px solid #c6dcef;border-radius:10px;padding:14px 18px;font-size:13.5px;color:#234b6e;margin:12px 0} .concl b{color:var(--brand)}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Pairs with LP-09 §5.5 / §8.9.3 Management Review Report</w:t>
      </w:r>
    </w:p>
    <w:p>
      <w:pPr>
        <w:pStyle w:val="Heading1"/>
      </w:pPr>
    </w:p>
    <w:p>
      <w:r>
        <w:t>The formal output of the management review, recording the four categories of decisions and measures of §8.9.3 a)–d), each with an owner, completion deadline and acceptance criteria — the overall basis for continuous improvement and next year's objectives. Doc No. MR-05 Version V1.0 Corresponds to §8.9.3 a)–d) (4 items) Issued by: top management 1 Report Header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Report No.</w:t>
            </w:r>
          </w:p>
        </w:tc>
        <w:tc>
          <w:tcPr>
            <w:tcW w:type="dxa" w:w="0"/>
          </w:tcPr>
          <w:p>
            <w:r>
              <w:t>MR-RPT-[20XX]</w:t>
            </w:r>
          </w:p>
        </w:tc>
        <w:tc>
          <w:tcPr>
            <w:tcW w:type="dxa" w:w="0"/>
          </w:tcPr>
          <w:p>
            <w:r>
              <w:t>Corresponding review</w:t>
            </w:r>
          </w:p>
        </w:tc>
        <w:tc>
          <w:tcPr>
            <w:tcW w:type="dxa" w:w="0"/>
          </w:tcPr>
          <w:p>
            <w:r>
              <w:t>[20XX annual]</w:t>
            </w:r>
          </w:p>
        </w:tc>
      </w:tr>
      <w:tr>
        <w:tc>
          <w:tcPr>
            <w:tcW w:type="dxa" w:w="0"/>
          </w:tcPr>
          <w:p>
            <w:r>
              <w:t>Review date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  <w:tc>
          <w:tcPr>
            <w:tcW w:type="dxa" w:w="0"/>
          </w:tcPr>
          <w:p>
            <w:r>
              <w:t>Drafted by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Issued by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  <w:tc>
          <w:tcPr>
            <w:tcW w:type="dxa" w:w="0"/>
          </w:tcPr>
          <w:p>
            <w:r>
              <w:t>Distribution</w:t>
            </w:r>
          </w:p>
        </w:tc>
        <w:tc>
          <w:tcPr>
            <w:tcW w:type="dxa" w:w="0"/>
          </w:tcPr>
          <w:p>
            <w:r>
              <w:t>All departments; input for next year's system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2 Review Overview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Purpose: review, per §8.9.1, the continued suitability, adequacy and effectiveness of the system. Scope: §4–§8 full elements + all departments / sites / capabilities. Basis: ISO/IEC 17025:2017, the laboratory's system documents. Attendees: </w:t>
              <w:t>[see MR-04]</w:t>
              <w:t>.</w:t>
            </w:r>
          </w:p>
        </w:tc>
      </w:tr>
    </w:tbl>
    <w:p>
      <w:r>
        <w:t xml:space="preserve"> 3 Input Summary (15-item conclusions)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Core conclusion (citing MR-03 evidence)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Changes in internal and external factors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Extent to which objectives were met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Appropriateness of policies and procedures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Status of actions from previous reviews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Internal audit results</w:t>
            </w:r>
          </w:p>
        </w:tc>
        <w:tc>
          <w:tcPr>
            <w:tcW w:type="dxa" w:w="0"/>
          </w:tcPr>
          <w:p>
            <w:r>
              <w:t>[System conforms and is effective; see FR-25]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Corrective actions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External assessments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Changes in workload / scope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Customer and personnel feedback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Complaints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Effectiveness of improvements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Risk identification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Outputs ensuring validity of results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Other relevant factors (monitoring / training)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Triple-Dimension Judgement (writing model)</w:t>
      </w:r>
    </w:p>
    <w:p>
      <w:pPr>
        <w:pStyle w:val="Heading2"/>
      </w:pPr>
    </w:p>
    <w:p>
      <w:r>
        <w:rPr>
          <w:b/>
        </w:rPr>
        <w:t>[Template]</w:t>
      </w:r>
      <w:r>
        <w:t xml:space="preserve"> Based on the evidence of the 15 inputs: ① </w:t>
      </w:r>
      <w:r>
        <w:rPr>
          <w:b/>
        </w:rPr>
        <w:t>Suitability</w:t>
      </w:r>
      <w:r>
        <w:t xml:space="preserve"> — the system still matches the current workload (+18%), extended scope and regulatory environment (new metrology law in force); no structural adjustment needed; ② </w:t>
      </w:r>
      <w:r>
        <w:rPr>
          <w:b/>
        </w:rPr>
        <w:t>Adequacy</w:t>
      </w:r>
      <w:r>
        <w:t xml:space="preserve"> — elements complete; 4 procedure revisions during the year cover all changes; no gaps; ③ </w:t>
      </w:r>
      <w:r>
        <w:rPr>
          <w:b/>
        </w:rPr>
        <w:t>Effectiveness</w:t>
      </w:r>
      <w:r>
        <w:t xml:space="preserve"> — quality objective attainment rate 83% (5/6), PT satisfaction rate 100%, report error rate 0.4%; the system achieves the policy and objectives and ensures result validity. Overall judgement: the management system is </w:t>
      </w:r>
      <w:r>
        <w:rPr>
          <w:b/>
        </w:rPr>
        <w:t>continually suitable, adequate and effective</w:t>
      </w:r>
      <w:r>
        <w:t>. 5 Review Outputs (§8.9.3 a)–d), 4 decisions)</w:t>
      </w:r>
    </w:p>
    <w:p>
      <w:pPr>
        <w:pStyle w:val="Heading2"/>
      </w:pPr>
    </w:p>
    <w:p>
      <w:r>
        <w:t>Each output must be “decision + owner + completion deadline + acceptance criteria” and can be copied directly into MR-06. Non-acceptable wording such as “strengthen management” is prohibited.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Output category</w:t>
            </w:r>
          </w:p>
        </w:tc>
        <w:tc>
          <w:tcPr>
            <w:tcW w:type="dxa" w:w="0"/>
          </w:tcPr>
          <w:p>
            <w:r>
              <w:t>Decision content</w:t>
            </w:r>
          </w:p>
        </w:tc>
        <w:tc>
          <w:tcPr>
            <w:tcW w:type="dxa" w:w="0"/>
          </w:tcPr>
          <w:p>
            <w:r>
              <w:t>Owner</w:t>
            </w:r>
          </w:p>
        </w:tc>
        <w:tc>
          <w:tcPr>
            <w:tcW w:type="dxa" w:w="0"/>
          </w:tcPr>
          <w:p>
            <w:r>
              <w:t>Deadline</w:t>
            </w:r>
          </w:p>
        </w:tc>
        <w:tc>
          <w:tcPr>
            <w:tcW w:type="dxa" w:w="0"/>
          </w:tcPr>
          <w:p>
            <w:r>
              <w:t>Acceptance criteria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System / process effectiveness</w:t>
            </w:r>
          </w:p>
        </w:tc>
        <w:tc>
          <w:tcPr>
            <w:tcW w:type="dxa" w:w="0"/>
          </w:tcPr>
          <w:p>
            <w:r>
              <w:t>[e.g. maintain the current system, institutionalise the dual-review mechanism]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Improvement of laboratory activities</w:t>
            </w:r>
          </w:p>
        </w:tc>
        <w:tc>
          <w:tcPr>
            <w:tcW w:type="dxa" w:w="0"/>
          </w:tcPr>
          <w:p>
            <w:r>
              <w:t>[e.g. introduce a LIMS reporting module]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Provision of resources needed</w:t>
            </w:r>
          </w:p>
        </w:tc>
        <w:tc>
          <w:tcPr>
            <w:tcW w:type="dxa" w:w="0"/>
          </w:tcPr>
          <w:p>
            <w:r>
              <w:t>[e.g. add one gas chromatograph]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Changes needed</w:t>
            </w:r>
          </w:p>
        </w:tc>
        <w:tc>
          <w:tcPr>
            <w:tcW w:type="dxa" w:w="0"/>
          </w:tcPr>
          <w:p>
            <w:r>
              <w:t>[e.g. report on-time target 95% → 93%]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Output Wording: Good / Poor Comparison</w:t>
      </w:r>
    </w:p>
    <w:p>
      <w:pPr>
        <w:pStyle w:val="Heading3"/>
      </w:pPr>
    </w:p>
    <w:p>
      <w:r>
        <w:rPr>
          <w:b/>
        </w:rPr>
        <w:t>Poor:</w:t>
      </w:r>
      <w:r>
        <w:t xml:space="preserve"> “a system effective; b continuous improvement; c suggest adding equipment; d revise documents in due course.” — no owner, no deadline, no verifiable criteria.</w:t>
      </w:r>
    </w:p>
    <w:p>
      <w:r>
        <w:rPr>
          <w:b/>
        </w:rPr>
        <w:t>Good:</w:t>
      </w:r>
      <w:r>
        <w:t xml:space="preserve"> “c Resources: the Technical Manager to complete procurement, installation and metrological traceability of a gas chromatograph by 2027-03-31 (acceptance: equipment register + traceability certificates); d Changes: the Quality Manager to adjust the report on-time target from 95% to 93% by 2026-12-31 and revise the 2027 quality objectives (acceptance: release of the new objectives document).”</w:t>
      </w:r>
    </w:p>
    <w:p>
      <w:pPr>
        <w:pStyle w:val="Heading2"/>
      </w:pPr>
      <w:r>
        <w:t>6 Next-Year Quality Objective Proposals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Based on this year's attainment and the changes in item d, proposed next-year objectives: </w:t>
              <w:t>[objective by objective + quantified values + responsible departments]</w:t>
              <w:t>. These proposals are approved together with the report and serve as the baseline for next year's input b.</w:t>
            </w:r>
          </w:p>
        </w:tc>
      </w:tr>
    </w:tbl>
    <w:p>
      <w:r>
        <w:t xml:space="preserve"> 7 Sign-off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Drafted (Quality Manager)</w:t>
            </w:r>
          </w:p>
        </w:tc>
        <w:tc>
          <w:tcPr>
            <w:tcW w:type="dxa" w:w="0"/>
          </w:tcPr>
          <w:p>
            <w:r>
              <w:t>Reviewed (Technical Manager)</w:t>
            </w:r>
          </w:p>
        </w:tc>
        <w:tc>
          <w:tcPr>
            <w:tcW w:type="dxa" w:w="0"/>
          </w:tcPr>
          <w:p>
            <w:r>
              <w:t>Approved (Top management)</w:t>
            </w:r>
          </w:p>
        </w:tc>
      </w:tr>
      <w:tr>
        <w:tc>
          <w:tcPr>
            <w:tcW w:type="dxa" w:w="0"/>
          </w:tcPr>
          <w:p>
            <w:r>
              <w:t>Signature / date</w:t>
            </w:r>
          </w:p>
        </w:tc>
        <w:tc>
          <w:tcPr>
            <w:tcW w:type="dxa" w:w="0"/>
          </w:tcPr>
          <w:p>
            <w:r>
              <w:t>Signature / date</w:t>
            </w:r>
          </w:p>
        </w:tc>
        <w:tc>
          <w:tcPr>
            <w:tcW w:type="dxa" w:w="0"/>
          </w:tcPr>
          <w:p>
            <w:r>
              <w:t>Signature / date</w:t>
            </w:r>
          </w:p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Closure:</w:t>
      </w:r>
      <w:r>
        <w:t xml:space="preserve"> within 3 days of issuing MR-05, all decisions a)–d) are entered into </w:t>
      </w:r>
      <w:r>
        <w:rPr>
          <w:b/>
        </w:rPr>
        <w:t>MR-06 Decision Tracker</w:t>
      </w:r>
      <w:r>
        <w:t>; completion is verified as next year's management review input d). Together with MR-04, this report constitutes the “records of management reviews” required by the standard, retained for ≥ one accreditation cycle.</w:t>
        <w:t xml:space="preserve"> </w:t>
        <w:t>MR-05 Management Review Report · LabKitPro Management Review Complete Pack (English Version v1.0)</w:t>
        <w:br/>
        <w:t>Prepared in accordance with ISO/IEC 17025:2017 §8.9.3 a)–d)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