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MR-05 管理评审报告（完善版） | LabKitPro 管审资料包 :root{--ink:#10202e;--ink2:#38505f;--muted:#5d7180;--bg:#f6f8fa;--card:#fff;--line:#dde5eb;--brand:#0f2f4a;--accent:#0e8f7d;--accent2:#1b6ea8;--warn:#a35b1a} *{box-sizing:border-box;margin:0;padding:0} body{font-family:"Noto Sans SC","PingFang SC","Microsoft YaHei",-apple-system,sans-serif;background:var(--bg);color:var(--ink);line-height:1.8;font-size:15px}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h3{font-size:15.5px;font-weight:700;color:var(--ink2);margin:20px 0 8px}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.concl{background:#eef5fb;border:1px solid #c6dcef;border-radius:10px;padding:14px 18px;font-size:13.5px;color:#234b6e;margin:12px 0} .concl b{color:var(--brand)} .note{background:#fff8ec;border:1px solid #f0d9b8;border-radius:10px;padding:12px 16px;font-size:13px;color:#6b5320;margin:14px 0} .note b{color:#a35b1a} .bad{background:#fdeaea;border:1px solid #ecc8c8;border-radius:8px;padding:10px 14px;font-size:13px;color:#7a2830;margin:8px 0} .good{background:#e7f4f1;border:1px solid #bfe3da;border-radius:8px;padding:10px 14px;font-size:13px;color:#1d5a50;margin:8px 0} .foot{margin-top:48px;padding-top:18px;border-top:1px solid var(--line);color:var(--muted);font-size:12.5px;text-align:center} @media(max-width:760px){h1{font-size:22px}table{font-size:12px;min-width:520px}th,td{padding:5px}.wrap{padding:0 14px 60px}} LabKitPro · 管理评审记录 · 配套 LP-09 §5.5 / §8.9.3 管理评审报告</w:t>
      </w:r>
    </w:p>
    <w:p>
      <w:pPr>
        <w:pStyle w:val="Heading1"/>
      </w:pPr>
    </w:p>
    <w:p>
      <w:r>
        <w:t>Management Review Report —— 管理评审的正式输出文件，记录 §8.9.3 a)–d) 共 4 类决定与措施，每项含责任人、完成时限、验收标准，是体系持续改进与下年目标的总依据。 文件编号 MR-05 版本 V1.0（完善版） 对应 §8.9.3 a–d（4 项） 签发：最高管理者 一 报告头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报告编号</w:t>
            </w:r>
          </w:p>
        </w:tc>
        <w:tc>
          <w:tcPr>
            <w:tcW w:type="dxa" w:w="0"/>
          </w:tcPr>
          <w:p>
            <w:r>
              <w:t>MR-RPT-[20XX]</w:t>
            </w:r>
          </w:p>
        </w:tc>
        <w:tc>
          <w:tcPr>
            <w:tcW w:type="dxa" w:w="0"/>
          </w:tcPr>
          <w:p>
            <w:r>
              <w:t>对应评审</w:t>
            </w:r>
          </w:p>
        </w:tc>
        <w:tc>
          <w:tcPr>
            <w:tcW w:type="dxa" w:w="0"/>
          </w:tcPr>
          <w:p>
            <w:r>
              <w:t>[20XX 年度]</w:t>
            </w:r>
          </w:p>
        </w:tc>
      </w:tr>
      <w:tr>
        <w:tc>
          <w:tcPr>
            <w:tcW w:type="dxa" w:w="0"/>
          </w:tcPr>
          <w:p>
            <w:r>
              <w:t>评审日期</w:t>
            </w:r>
          </w:p>
        </w:tc>
        <w:tc>
          <w:tcPr>
            <w:tcW w:type="dxa" w:w="0"/>
          </w:tcPr>
          <w:p>
            <w:r>
              <w:t>[YYYY-MM-DD]</w:t>
            </w:r>
          </w:p>
        </w:tc>
        <w:tc>
          <w:tcPr>
            <w:tcW w:type="dxa" w:w="0"/>
          </w:tcPr>
          <w:p>
            <w:r>
              <w:t>报告拟写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</w:tr>
      <w:tr>
        <w:tc>
          <w:tcPr>
            <w:tcW w:type="dxa" w:w="0"/>
          </w:tcPr>
          <w:p>
            <w:r>
              <w:t>签发</w:t>
            </w:r>
          </w:p>
        </w:tc>
        <w:tc>
          <w:tcPr>
            <w:tcW w:type="dxa" w:w="0"/>
          </w:tcPr>
          <w:p>
            <w:r>
              <w:t>最高管理者</w:t>
            </w:r>
          </w:p>
        </w:tc>
        <w:tc>
          <w:tcPr>
            <w:tcW w:type="dxa" w:w="0"/>
          </w:tcPr>
          <w:p>
            <w:r>
              <w:t>分发</w:t>
            </w:r>
          </w:p>
        </w:tc>
        <w:tc>
          <w:tcPr>
            <w:tcW w:type="dxa" w:w="0"/>
          </w:tcPr>
          <w:p>
            <w:r>
              <w:t>各部门、作为下年体系输入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二 评审概况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>目的：按 §8.9.1 评审体系持续适宜性、充分性、有效性。范围：§4–§8 全要素 + 全部部门/场所/能力。依据：ISO/IEC 17025:2017、实验室体系文件。参会：</w:t>
              <w:t>[见 MR-04]</w:t>
              <w:t>。</w:t>
            </w:r>
          </w:p>
        </w:tc>
      </w:tr>
    </w:tbl>
    <w:p>
      <w:r>
        <w:t xml:space="preserve"> 三 输入综述（15 项结论摘要）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项</w:t>
            </w:r>
          </w:p>
        </w:tc>
        <w:tc>
          <w:tcPr>
            <w:tcW w:type="dxa" w:w="0"/>
          </w:tcPr>
          <w:p>
            <w:r>
              <w:t>输入</w:t>
            </w:r>
          </w:p>
        </w:tc>
        <w:tc>
          <w:tcPr>
            <w:tcW w:type="dxa" w:w="0"/>
          </w:tcPr>
          <w:p>
            <w:r>
              <w:t>核心结论（引用 MR-03 证据）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内外部因素变化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目标实现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c</w:t>
            </w:r>
          </w:p>
        </w:tc>
        <w:tc>
          <w:tcPr>
            <w:tcW w:type="dxa" w:w="0"/>
          </w:tcPr>
          <w:p>
            <w:r>
              <w:t>政策程序适宜性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d</w:t>
            </w:r>
          </w:p>
        </w:tc>
        <w:tc>
          <w:tcPr>
            <w:tcW w:type="dxa" w:w="0"/>
          </w:tcPr>
          <w:p>
            <w:r>
              <w:t>以往措施状况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e</w:t>
            </w:r>
          </w:p>
        </w:tc>
        <w:tc>
          <w:tcPr>
            <w:tcW w:type="dxa" w:w="0"/>
          </w:tcPr>
          <w:p>
            <w:r>
              <w:t>内审结果</w:t>
            </w:r>
          </w:p>
        </w:tc>
        <w:tc>
          <w:tcPr>
            <w:tcW w:type="dxa" w:w="0"/>
          </w:tcPr>
          <w:p>
            <w:r>
              <w:t>[体系符合且有效，详见 FR-25]</w:t>
            </w:r>
          </w:p>
        </w:tc>
      </w:tr>
      <w:tr>
        <w:tc>
          <w:tcPr>
            <w:tcW w:type="dxa" w:w="0"/>
          </w:tcPr>
          <w:p>
            <w:r>
              <w:t>f</w:t>
            </w:r>
          </w:p>
        </w:tc>
        <w:tc>
          <w:tcPr>
            <w:tcW w:type="dxa" w:w="0"/>
          </w:tcPr>
          <w:p>
            <w:r>
              <w:t>纠正措施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g</w:t>
            </w:r>
          </w:p>
        </w:tc>
        <w:tc>
          <w:tcPr>
            <w:tcW w:type="dxa" w:w="0"/>
          </w:tcPr>
          <w:p>
            <w:r>
              <w:t>外部评审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h</w:t>
            </w:r>
          </w:p>
        </w:tc>
        <w:tc>
          <w:tcPr>
            <w:tcW w:type="dxa" w:w="0"/>
          </w:tcPr>
          <w:p>
            <w:r>
              <w:t>工作量/范围变化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i</w:t>
            </w:r>
          </w:p>
        </w:tc>
        <w:tc>
          <w:tcPr>
            <w:tcW w:type="dxa" w:w="0"/>
          </w:tcPr>
          <w:p>
            <w:r>
              <w:t>顾客/人员反馈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j</w:t>
            </w:r>
          </w:p>
        </w:tc>
        <w:tc>
          <w:tcPr>
            <w:tcW w:type="dxa" w:w="0"/>
          </w:tcPr>
          <w:p>
            <w:r>
              <w:t>投诉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k</w:t>
            </w:r>
          </w:p>
        </w:tc>
        <w:tc>
          <w:tcPr>
            <w:tcW w:type="dxa" w:w="0"/>
          </w:tcPr>
          <w:p>
            <w:r>
              <w:t>改进有效性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l</w:t>
            </w:r>
          </w:p>
        </w:tc>
        <w:tc>
          <w:tcPr>
            <w:tcW w:type="dxa" w:w="0"/>
          </w:tcPr>
          <w:p>
            <w:r>
              <w:t>资源充分性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m</w:t>
            </w:r>
          </w:p>
        </w:tc>
        <w:tc>
          <w:tcPr>
            <w:tcW w:type="dxa" w:w="0"/>
          </w:tcPr>
          <w:p>
            <w:r>
              <w:t>风险识别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n</w:t>
            </w:r>
          </w:p>
        </w:tc>
        <w:tc>
          <w:tcPr>
            <w:tcW w:type="dxa" w:w="0"/>
          </w:tcPr>
          <w:p>
            <w:r>
              <w:t>结果有效性输出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o</w:t>
            </w:r>
          </w:p>
        </w:tc>
        <w:tc>
          <w:tcPr>
            <w:tcW w:type="dxa" w:w="0"/>
          </w:tcPr>
          <w:p>
            <w:r>
              <w:t>其他（监控/培训）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四 三性判定结论（撰写示例）</w:t>
      </w:r>
    </w:p>
    <w:p>
      <w:pPr>
        <w:pStyle w:val="Heading2"/>
      </w:pPr>
    </w:p>
    <w:p>
      <w:r>
        <w:rPr>
          <w:b/>
        </w:rPr>
        <w:t>【模板】</w:t>
      </w:r>
      <w:r>
        <w:t xml:space="preserve">综合 15 项输入证据：① </w:t>
      </w:r>
      <w:r>
        <w:rPr>
          <w:b/>
        </w:rPr>
        <w:t>适宜性</w:t>
      </w:r>
      <w:r>
        <w:t xml:space="preserve">——体系与当前业务量（+18%）、扩项范围及法规环境（新计量法施行）仍匹配，无需结构性调整；② </w:t>
      </w:r>
      <w:r>
        <w:rPr>
          <w:b/>
        </w:rPr>
        <w:t>充分性</w:t>
      </w:r>
      <w:r>
        <w:t xml:space="preserve">——要素完整，年内修订程序 4 份覆盖全部变化，无缺项；③ </w:t>
      </w:r>
      <w:r>
        <w:rPr>
          <w:b/>
        </w:rPr>
        <w:t>有效性</w:t>
      </w:r>
      <w:r>
        <w:t>——质量目标达成率 83%（5/6），能力验证满意率 100%、报告差错率 0.4%，体系能实现方针目标并保障结果有效性。综合判定：管理体系</w:t>
      </w:r>
      <w:r>
        <w:rPr>
          <w:b/>
        </w:rPr>
        <w:t>持续适宜、充分、有效</w:t>
      </w:r>
      <w:r>
        <w:t>。 五 评审输出（§8.9.3 a–d，4 项决定）</w:t>
      </w:r>
    </w:p>
    <w:p>
      <w:pPr>
        <w:pStyle w:val="Heading2"/>
      </w:pPr>
    </w:p>
    <w:p>
      <w:r>
        <w:t>每项输出必须是"决定 + 责任人 + 完成时限 + 验收标准"，可直接抄入 MR-06。禁止"加强管理"类不可验收表述。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项</w:t>
            </w:r>
          </w:p>
        </w:tc>
        <w:tc>
          <w:tcPr>
            <w:tcW w:type="dxa" w:w="0"/>
          </w:tcPr>
          <w:p>
            <w:r>
              <w:t>输出类别</w:t>
            </w:r>
          </w:p>
        </w:tc>
        <w:tc>
          <w:tcPr>
            <w:tcW w:type="dxa" w:w="0"/>
          </w:tcPr>
          <w:p>
            <w:r>
              <w:t>决定内容</w:t>
            </w:r>
          </w:p>
        </w:tc>
        <w:tc>
          <w:tcPr>
            <w:tcW w:type="dxa" w:w="0"/>
          </w:tcPr>
          <w:p>
            <w:r>
              <w:t>责任人</w:t>
            </w:r>
          </w:p>
        </w:tc>
        <w:tc>
          <w:tcPr>
            <w:tcW w:type="dxa" w:w="0"/>
          </w:tcPr>
          <w:p>
            <w:r>
              <w:t>完成时限</w:t>
            </w:r>
          </w:p>
        </w:tc>
        <w:tc>
          <w:tcPr>
            <w:tcW w:type="dxa" w:w="0"/>
          </w:tcPr>
          <w:p>
            <w:r>
              <w:t>验收标准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体系/过程有效性</w:t>
            </w:r>
          </w:p>
        </w:tc>
        <w:tc>
          <w:tcPr>
            <w:tcW w:type="dxa" w:w="0"/>
          </w:tcPr>
          <w:p>
            <w:r>
              <w:t>[如：维持现行体系，固化双审机制]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实验室活动改进</w:t>
            </w:r>
          </w:p>
        </w:tc>
        <w:tc>
          <w:tcPr>
            <w:tcW w:type="dxa" w:w="0"/>
          </w:tcPr>
          <w:p>
            <w:r>
              <w:t>[如：引入 LIMS 报告模块]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c</w:t>
            </w:r>
          </w:p>
        </w:tc>
        <w:tc>
          <w:tcPr>
            <w:tcW w:type="dxa" w:w="0"/>
          </w:tcPr>
          <w:p>
            <w:r>
              <w:t>提供所需资源</w:t>
            </w:r>
          </w:p>
        </w:tc>
        <w:tc>
          <w:tcPr>
            <w:tcW w:type="dxa" w:w="0"/>
          </w:tcPr>
          <w:p>
            <w:r>
              <w:t>[如：增气相色谱 1 台]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d</w:t>
            </w:r>
          </w:p>
        </w:tc>
        <w:tc>
          <w:tcPr>
            <w:tcW w:type="dxa" w:w="0"/>
          </w:tcPr>
          <w:p>
            <w:r>
              <w:t>所需变更</w:t>
            </w:r>
          </w:p>
        </w:tc>
        <w:tc>
          <w:tcPr>
            <w:tcW w:type="dxa" w:w="0"/>
          </w:tcPr>
          <w:p>
            <w:r>
              <w:t>[如：报告按时率目标 95%→93%]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输出写法：好 / 差对照</w:t>
      </w:r>
    </w:p>
    <w:p>
      <w:pPr>
        <w:pStyle w:val="Heading3"/>
      </w:pPr>
    </w:p>
    <w:p>
      <w:r>
        <w:rPr>
          <w:b/>
        </w:rPr>
        <w:t>差：</w:t>
      </w:r>
      <w:r>
        <w:t>"a 体系有效；b 持续改进；c 建议增设备；d 适时修订文件。"——无责任人、无时限、无可验收标准。</w:t>
      </w:r>
    </w:p>
    <w:p>
      <w:r>
        <w:rPr>
          <w:b/>
        </w:rPr>
        <w:t>好：</w:t>
      </w:r>
      <w:r>
        <w:t>"c 资源：技术负责人于 2027-03-31 前完成气相色谱采购、安装与计量溯源（验收：设备台账 + 溯源证书）；d 变更：质量负责人于 2026-12-31 前将『报告按时率』目标由 95% 调为 93% 并修订 2027 版质量目标（验收：新版目标文件发布）。"</w:t>
      </w:r>
    </w:p>
    <w:p>
      <w:pPr>
        <w:pStyle w:val="Heading2"/>
      </w:pPr>
      <w:r>
        <w:t>六 下年质量目标建议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>基于本年达成情况与 d 项变更，建议下年目标：</w:t>
              <w:t>[逐项目标 + 量化值 + 责任部门]</w:t>
              <w:t>。本建议随报告一并批准，作为下年体系输入 b 项基准。</w:t>
            </w:r>
          </w:p>
        </w:tc>
      </w:tr>
    </w:tbl>
    <w:p>
      <w:r>
        <w:t xml:space="preserve"> 七 签发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拟写（质量负责人）</w:t>
            </w:r>
          </w:p>
        </w:tc>
        <w:tc>
          <w:tcPr>
            <w:tcW w:type="dxa" w:w="0"/>
          </w:tcPr>
          <w:p>
            <w:r>
              <w:t>审核（技术负责人）</w:t>
            </w:r>
          </w:p>
        </w:tc>
        <w:tc>
          <w:tcPr>
            <w:tcW w:type="dxa" w:w="0"/>
          </w:tcPr>
          <w:p>
            <w:r>
              <w:t>批准（最高管理者）</w:t>
            </w:r>
          </w:p>
        </w:tc>
      </w:tr>
      <w:tr>
        <w:tc>
          <w:tcPr>
            <w:tcW w:type="dxa" w:w="0"/>
          </w:tcPr>
          <w:p>
            <w:r>
              <w:t>签字/日期</w:t>
            </w:r>
          </w:p>
        </w:tc>
        <w:tc>
          <w:tcPr>
            <w:tcW w:type="dxa" w:w="0"/>
          </w:tcPr>
          <w:p>
            <w:r>
              <w:t>签字/日期</w:t>
            </w:r>
          </w:p>
        </w:tc>
        <w:tc>
          <w:tcPr>
            <w:tcW w:type="dxa" w:w="0"/>
          </w:tcPr>
          <w:p>
            <w:r>
              <w:t>签字/日期</w:t>
            </w:r>
          </w:p>
        </w:tc>
      </w:tr>
    </w:tbl>
    <w:p>
      <w:r>
        <w:t xml:space="preserve"> </w:t>
      </w:r>
    </w:p>
    <w:p>
      <w:r>
        <w:t xml:space="preserve"> </w:t>
      </w:r>
      <w:r>
        <w:rPr>
          <w:b/>
        </w:rPr>
        <w:t>闭环：</w:t>
      </w:r>
      <w:r>
        <w:t xml:space="preserve">MR-05 发布后 3 日内，全部 a–d 项决定录入 </w:t>
      </w:r>
      <w:r>
        <w:rPr>
          <w:b/>
        </w:rPr>
        <w:t>MR-06 决议跟踪表</w:t>
      </w:r>
      <w:r>
        <w:t>；完成情况作为下年管评输入 d 项核查。本报告与 MR-04 共同构成标准要求的"管理评审记录"，保存 ≥ 一个认可周期。</w:t>
        <w:t xml:space="preserve"> </w:t>
        <w:t>MR-05 管理评审报告 · LabKitPro 管理评审整套资料包（中文版 v1.0）</w:t>
        <w:br/>
        <w:t>配套 LP-09 · 依据 ISO/IEC 17025:2017 §8.9.3 a)–d)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