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Microsoft YaHei"/>
          <w:b/>
          <w:color w:val="1F6FEB"/>
          <w:sz w:val="22"/>
        </w:rPr>
        <w:t>LABKITPRO</w:t>
      </w:r>
      <w:r>
        <w:rPr>
          <w:rFonts w:ascii="Calibri" w:hAnsi="Calibri" w:eastAsia="Microsoft YaHei"/>
          <w:color w:val="5B6B7F"/>
          <w:sz w:val="19"/>
        </w:rPr>
        <w:t xml:space="preserve">   ·   ISO/IEC 17025:2017 toolkit</w:t>
      </w:r>
    </w:p>
    <w:p>
      <w:pPr>
        <w:spacing w:before="40" w:after="40"/>
      </w:pPr>
      <w:r>
        <w:rPr>
          <w:rFonts w:ascii="Calibri" w:hAnsi="Calibri" w:eastAsia="Microsoft YaHei"/>
          <w:b/>
          <w:color w:val="0F2A4A"/>
          <w:sz w:val="40"/>
        </w:rPr>
        <w:t>Laboratory Conformity Reality Diagnosis</w:t>
      </w:r>
    </w:p>
    <w:p>
      <w:r>
        <w:rPr>
          <w:rFonts w:ascii="Calibri" w:hAnsi="Calibri" w:eastAsia="Microsoft YaHei"/>
          <w:b/>
          <w:color w:val="0F2A4A"/>
          <w:sz w:val="26"/>
        </w:rPr>
        <w:t>实验室符合性现状诊断（样例）</w:t>
      </w:r>
    </w:p>
    <w:p>
      <w:r>
        <w:rPr>
          <w:rFonts w:ascii="Calibri" w:hAnsi="Calibri" w:eastAsia="Microsoft YaHei"/>
          <w:color w:val="5B6B7F"/>
          <w:sz w:val="20"/>
        </w:rPr>
        <w:t>Sample structure &amp; depth — generic, not tailored to any lab.   样例结构与深度示意——通用版，非针对任何实验室。</w:t>
      </w:r>
    </w:p>
    <w:p/>
    <w:p>
      <w:pPr w:spacing="120">
        <w:shd w:val="clear" w:color="auto" w:fill="FFF7ED"/>
        <w:pBdr>
          <w:left w:val="single" w:sz="24" w:space="8" w:color="F59E0B"/>
        </w:pBdr>
      </w:pPr>
      <w:r>
        <w:rPr>
          <w:rFonts w:ascii="Calibri" w:hAnsi="Calibri" w:eastAsia="Microsoft YaHei"/>
          <w:b/>
          <w:color w:val="B45309"/>
          <w:sz w:val="22"/>
        </w:rPr>
        <w:t>DEMO SAMPLE · 样例 · 非完整交付物</w:t>
        <w:br/>
      </w:r>
      <w:r>
        <w:rPr>
          <w:rFonts w:ascii="Calibri" w:hAnsi="Calibri" w:eastAsia="Microsoft YaHei"/>
          <w:color w:val="B45309"/>
          <w:sz w:val="20"/>
        </w:rPr>
        <w:t>This is a GENERIC sample showing the structure and depth of a LabKitPro Reality Diagnosis report. The full version is tailored to your country, accreditation body, industry and the documents you upload.</w:t>
        <w:br/>
        <w:t>这是通用样例，仅展示报告结构与深度。完整版将结合你的国家 / 认可机构 / 行业与上传文档生成。</w:t>
      </w:r>
    </w:p>
    <w:p>
      <w:pPr>
        <w:pBdr>
          <w:bottom w:val="single" w:sz="6" w:space="4" w:color="0F2A4A"/>
        </w:pBdr>
      </w:pPr>
      <w:r>
        <w:rPr>
          <w:rFonts w:ascii="Calibri" w:hAnsi="Calibri" w:eastAsia="Microsoft YaHei"/>
          <w:b/>
          <w:color w:val="0F2A4A"/>
          <w:sz w:val="28"/>
        </w:rPr>
        <w:t>1 · Purpose  /  一、用途</w:t>
      </w:r>
    </w:p>
    <w:p>
      <w:pPr>
        <w:spacing w:after="80"/>
      </w:pPr>
      <w:r>
        <w:rPr>
          <w:rFonts w:ascii="Calibri" w:hAnsi="Calibri" w:eastAsia="Microsoft YaHei"/>
          <w:b w:val="0"/>
          <w:sz w:val="21"/>
        </w:rPr>
        <w:t>Self-assess your lab against ISO/IEC 17025:2017 clauses §4–§8, overlaid with your accreditation body’s real review focus.</w:t>
      </w:r>
      <w:r>
        <w:rPr>
          <w:rFonts w:ascii="Calibri" w:hAnsi="Calibri" w:eastAsia="Microsoft YaHei"/>
          <w:b w:val="0"/>
          <w:sz w:val="21"/>
        </w:rPr>
        <w:t xml:space="preserve">  依据 ISO/IEC 17025:2017 §4–§8 自评实验室符合性，并叠加所选认可机构的真实评审重点。</w:t>
      </w:r>
    </w:p>
    <w:p>
      <w:pPr>
        <w:pBdr>
          <w:bottom w:val="single" w:sz="6" w:space="4" w:color="0F2A4A"/>
        </w:pBdr>
      </w:pPr>
      <w:r>
        <w:rPr>
          <w:rFonts w:ascii="Calibri" w:hAnsi="Calibri" w:eastAsia="Microsoft YaHei"/>
          <w:b/>
          <w:color w:val="0F2A4A"/>
          <w:sz w:val="28"/>
        </w:rPr>
        <w:t>2 · Scope  /  二、范围</w:t>
      </w:r>
    </w:p>
    <w:p>
      <w:pPr>
        <w:spacing w:after="80"/>
      </w:pPr>
      <w:r>
        <w:rPr>
          <w:rFonts w:ascii="Calibri" w:hAnsi="Calibri" w:eastAsia="Microsoft YaHei"/>
          <w:b w:val="0"/>
          <w:sz w:val="21"/>
        </w:rPr>
        <w:t>Generic ISO/IEC 17025:2017 framework (all labs). Full version narrows to your selected body (A2LA, UKAS, NABL, …) and industry.</w:t>
      </w:r>
      <w:r>
        <w:rPr>
          <w:rFonts w:ascii="Calibri" w:hAnsi="Calibri" w:eastAsia="Microsoft YaHei"/>
          <w:b w:val="0"/>
          <w:sz w:val="21"/>
        </w:rPr>
        <w:t xml:space="preserve">  通用 ISO/IEC 17025:2017 框架。完整版会细化到你选择的机构（A2LA、UKAS、NABL…）与行业。</w:t>
      </w:r>
    </w:p>
    <w:p>
      <w:pPr>
        <w:pBdr>
          <w:bottom w:val="single" w:sz="6" w:space="4" w:color="0F2A4A"/>
        </w:pBdr>
      </w:pPr>
      <w:r>
        <w:rPr>
          <w:rFonts w:ascii="Calibri" w:hAnsi="Calibri" w:eastAsia="Microsoft YaHei"/>
          <w:b/>
          <w:color w:val="0F2A4A"/>
          <w:sz w:val="28"/>
        </w:rPr>
        <w:t>3 · Sample clause-section snapshot  /  三、章节符合性快照（示例）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1152"/>
          </w:tcPr>
          <w:p>
            <w:pPr>
              <w:shd w:val="clear" w:color="auto" w:fill="0F2A4A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Clause</w:t>
            </w:r>
          </w:p>
        </w:tc>
        <w:tc>
          <w:tcPr>
            <w:tcW w:type="dxa" w:w="2016"/>
          </w:tcPr>
          <w:p>
            <w:pPr>
              <w:shd w:val="clear" w:color="auto" w:fill="0F2A4A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Sample status</w:t>
            </w:r>
          </w:p>
        </w:tc>
        <w:tc>
          <w:tcPr>
            <w:tcW w:type="dxa" w:w="3168"/>
          </w:tcPr>
          <w:p>
            <w:pPr>
              <w:shd w:val="clear" w:color="auto" w:fill="0F2A4A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Key gap (example)</w:t>
            </w:r>
          </w:p>
        </w:tc>
        <w:tc>
          <w:tcPr>
            <w:tcW w:type="dxa" w:w="2016"/>
          </w:tcPr>
          <w:p>
            <w:pPr>
              <w:shd w:val="clear" w:color="auto" w:fill="0F2A4A"/>
            </w:pPr>
            <w:r/>
            <w:r>
              <w:rPr>
                <w:rFonts w:ascii="Calibri" w:hAnsi="Calibri" w:eastAsia="Microsoft YaHei"/>
                <w:b/>
                <w:color w:val="FFFFFF"/>
                <w:sz w:val="19"/>
              </w:rPr>
              <w:t>Linked template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§4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Partial · 70%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Impartiality statement thin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FR-02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§5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Partial · 65%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Management-review output missing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FR-05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§6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Partial · 60%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Competence monitoring weak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FR-09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§7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Partial · 55%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Method validation thin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FR-13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§8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Partial · 68%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Internal-audit trail sparse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 w:eastAsia="Microsoft YaHei"/>
                <w:color w:val="14202E"/>
                <w:sz w:val="19"/>
              </w:rPr>
              <w:t>FR-21</w:t>
            </w:r>
          </w:p>
        </w:tc>
      </w:tr>
    </w:tbl>
    <w:p>
      <w:pPr>
        <w:pBdr>
          <w:bottom w:val="single" w:sz="6" w:space="4" w:color="0F2A4A"/>
        </w:pBdr>
      </w:pPr>
      <w:r>
        <w:rPr>
          <w:rFonts w:ascii="Calibri" w:hAnsi="Calibri" w:eastAsia="Microsoft YaHei"/>
          <w:b/>
          <w:color w:val="0F2A4A"/>
          <w:sz w:val="28"/>
        </w:rPr>
        <w:t>4 · What the FULL version adds  /  四、完整版额外包含</w:t>
      </w:r>
    </w:p>
    <w:p>
      <w:pPr>
        <w:pStyle w:val="ListBullet"/>
        <w:spacing w:after="40"/>
      </w:pPr>
      <w:r>
        <w:rPr>
          <w:rFonts w:ascii="Calibri" w:hAnsi="Calibri" w:eastAsia="Microsoft YaHei"/>
          <w:color w:val="5B6B7F"/>
          <w:sz w:val="21"/>
        </w:rPr>
        <w:t xml:space="preserve">Eight-lens diagnosis (Man/Machine/Material/Method/Environment/Measurement/System/Impartiality) —   </w:t>
      </w:r>
      <w:r>
        <w:rPr>
          <w:rFonts w:ascii="Calibri" w:hAnsi="Calibri" w:eastAsia="Microsoft YaHei"/>
          <w:color w:val="0F2A4A"/>
          <w:sz w:val="21"/>
        </w:rPr>
        <w:t>八维诊断（人/机/料/法/环/测/组织/公正）</w:t>
      </w:r>
    </w:p>
    <w:p>
      <w:pPr>
        <w:pStyle w:val="ListBullet"/>
        <w:spacing w:after="40"/>
      </w:pPr>
      <w:r>
        <w:rPr>
          <w:rFonts w:ascii="Calibri" w:hAnsi="Calibri" w:eastAsia="Microsoft YaHei"/>
          <w:color w:val="5B6B7F"/>
          <w:sz w:val="21"/>
        </w:rPr>
        <w:t xml:space="preserve">Consultant narrative tailored to your inputs (bright spots, judgment, priority actions) —   </w:t>
      </w:r>
      <w:r>
        <w:rPr>
          <w:rFonts w:ascii="Calibri" w:hAnsi="Calibri" w:eastAsia="Microsoft YaHei"/>
          <w:color w:val="0F2A4A"/>
          <w:sz w:val="21"/>
        </w:rPr>
        <w:t>结合你输入的顾问视角（亮点、整体判断、优先动作）</w:t>
      </w:r>
    </w:p>
    <w:p>
      <w:pPr>
        <w:pStyle w:val="ListBullet"/>
        <w:spacing w:after="40"/>
      </w:pPr>
      <w:r>
        <w:rPr>
          <w:rFonts w:ascii="Calibri" w:hAnsi="Calibri" w:eastAsia="Microsoft YaHei"/>
          <w:color w:val="5B6B7F"/>
          <w:sz w:val="21"/>
        </w:rPr>
        <w:t xml:space="preserve">Body-specific mandatory clauses &amp; prohibited terms woven in —   </w:t>
      </w:r>
      <w:r>
        <w:rPr>
          <w:rFonts w:ascii="Calibri" w:hAnsi="Calibri" w:eastAsia="Microsoft YaHei"/>
          <w:color w:val="0F2A4A"/>
          <w:sz w:val="21"/>
        </w:rPr>
        <w:t>嵌入你机构的强制条款与禁用语</w:t>
      </w:r>
    </w:p>
    <w:p>
      <w:pPr>
        <w:pStyle w:val="ListBullet"/>
        <w:spacing w:after="40"/>
      </w:pPr>
      <w:r>
        <w:rPr>
          <w:rFonts w:ascii="Calibri" w:hAnsi="Calibri" w:eastAsia="Microsoft YaHei"/>
          <w:color w:val="5B6B7F"/>
          <w:sz w:val="21"/>
        </w:rPr>
        <w:t xml:space="preserve">Your QM/PR/industry expanded per your lab —   </w:t>
      </w:r>
      <w:r>
        <w:rPr>
          <w:rFonts w:ascii="Calibri" w:hAnsi="Calibri" w:eastAsia="Microsoft YaHei"/>
          <w:color w:val="0F2A4A"/>
          <w:sz w:val="21"/>
        </w:rPr>
        <w:t>按你的质量手册/程序/行业展开</w:t>
      </w:r>
    </w:p>
    <w:p>
      <w:pPr>
        <w:pStyle w:val="ListBullet"/>
        <w:spacing w:after="40"/>
      </w:pPr>
      <w:r>
        <w:rPr>
          <w:rFonts w:ascii="Calibri" w:hAnsi="Calibri" w:eastAsia="Microsoft YaHei"/>
          <w:color w:val="5B6B7F"/>
          <w:sz w:val="21"/>
        </w:rPr>
        <w:t xml:space="preserve">Exportable, watermark-free Word (.docx) —   </w:t>
      </w:r>
      <w:r>
        <w:rPr>
          <w:rFonts w:ascii="Calibri" w:hAnsi="Calibri" w:eastAsia="Microsoft YaHei"/>
          <w:color w:val="0F2A4A"/>
          <w:sz w:val="21"/>
        </w:rPr>
        <w:t>可导出、去水印 Word</w:t>
      </w:r>
    </w:p>
    <w:p>
      <w:r>
        <w:rPr>
          <w:rFonts w:ascii="Calibri" w:hAnsi="Calibri" w:eastAsia="Microsoft YaHei"/>
          <w:b/>
          <w:color w:val="1F6FEB"/>
          <w:sz w:val="23"/>
        </w:rPr>
        <w:t>Unlock  /  解锁</w:t>
      </w:r>
    </w:p>
    <w:p>
      <w:pPr>
        <w:spacing w:after="80"/>
      </w:pPr>
      <w:r>
        <w:rPr>
          <w:rFonts w:ascii="Calibri" w:hAnsi="Calibri" w:eastAsia="Microsoft YaHei"/>
          <w:b w:val="0"/>
          <w:color w:val="5B6B7F"/>
          <w:sz w:val="20"/>
        </w:rPr>
        <w:t>Free users see the generic framework version above. Unlock to get the tailored, watermark-free deliverable at labkitpro.com.</w:t>
      </w:r>
      <w:r>
        <w:rPr>
          <w:rFonts w:ascii="Calibri" w:hAnsi="Calibri" w:eastAsia="Microsoft YaHei"/>
          <w:b w:val="0"/>
          <w:color w:val="5B6B7F"/>
          <w:sz w:val="20"/>
        </w:rPr>
        <w:t xml:space="preserve">  免费用户看到上方的通用框架版。解锁后可获得按你情况定制的、去水印的交付物：labkitpro.com。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94A3B8"/>
        <w:sz w:val="18"/>
      </w:rPr>
      <w:t xml:space="preserve">LabKitPro · Generic demo sample · Not a full deliverable    |    Page </w:t>
    </w:r>
    <w:r>
      <w:rPr>
        <w:rFonts w:ascii="Calibri" w:hAnsi="Calibri" w:eastAsia="Microsoft YaHei"/>
        <w:color w:val="94A3B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