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YaHei"/>
          <w:b/>
          <w:color w:val="1F6FEB"/>
          <w:sz w:val="22"/>
        </w:rPr>
        <w:t>LABKITPRO</w:t>
      </w:r>
      <w:r>
        <w:rPr>
          <w:rFonts w:ascii="Calibri" w:hAnsi="Calibri" w:eastAsia="Microsoft YaHei"/>
          <w:color w:val="5B6B7F"/>
          <w:sz w:val="19"/>
        </w:rPr>
        <w:t xml:space="preserve">   ·   ISO/IEC 17025:2017 toolkit</w:t>
      </w:r>
    </w:p>
    <w:p>
      <w:pPr>
        <w:spacing w:before="40" w:after="40"/>
      </w:pPr>
      <w:r>
        <w:rPr>
          <w:rFonts w:ascii="Calibri" w:hAnsi="Calibri" w:eastAsia="Microsoft YaHei"/>
          <w:b/>
          <w:color w:val="0F2A4A"/>
          <w:sz w:val="40"/>
        </w:rPr>
        <w:t>Measurement Uncertainty Budget</w:t>
      </w:r>
    </w:p>
    <w:p>
      <w:r>
        <w:rPr>
          <w:rFonts w:ascii="Calibri" w:hAnsi="Calibri" w:eastAsia="Microsoft YaHei"/>
          <w:b/>
          <w:color w:val="0F2A4A"/>
          <w:sz w:val="26"/>
        </w:rPr>
        <w:t>测量不确定度预算（样例）</w:t>
      </w:r>
    </w:p>
    <w:p>
      <w:r>
        <w:rPr>
          <w:rFonts w:ascii="Calibri" w:hAnsi="Calibri" w:eastAsia="Microsoft YaHei"/>
          <w:color w:val="5B6B7F"/>
          <w:sz w:val="20"/>
        </w:rPr>
        <w:t>Sample GUM budget — generic example values, not your data.   GUM 预算示例——通用示例数值，非你的数据。</w:t>
      </w:r>
    </w:p>
    <w:p/>
    <w:p>
      <w:pPr w:spacing="120">
        <w:shd w:val="clear" w:color="auto" w:fill="FFF7ED"/>
        <w:pBdr>
          <w:left w:val="single" w:sz="24" w:space="8" w:color="F59E0B"/>
        </w:pBdr>
      </w:pPr>
      <w:r>
        <w:rPr>
          <w:rFonts w:ascii="Calibri" w:hAnsi="Calibri" w:eastAsia="Microsoft YaHei"/>
          <w:b/>
          <w:color w:val="B45309"/>
          <w:sz w:val="22"/>
        </w:rPr>
        <w:t>DEMO SAMPLE · 样例 · 非完整交付物</w:t>
        <w:br/>
      </w:r>
      <w:r>
        <w:rPr>
          <w:rFonts w:ascii="Calibri" w:hAnsi="Calibri" w:eastAsia="Microsoft YaHei"/>
          <w:color w:val="B45309"/>
          <w:sz w:val="20"/>
        </w:rPr>
        <w:t>This is a GENERIC sample budget (JCGM 100:2008). The full version computes from YOUR components, applies your context, and exports an editable Word report.</w:t>
        <w:br/>
        <w:t>这是通用预算示例（JCGM 100:2008）。完整版基于你的分量计算、结合上下文，并导出可编辑 Word 报告。</w:t>
      </w:r>
    </w:p>
    <w:p>
      <w:pPr>
        <w:pBdr>
          <w:bottom w:val="single" w:sz="6" w:space="4" w:color="0F2A4A"/>
        </w:pBdr>
      </w:pPr>
      <w:r>
        <w:rPr>
          <w:rFonts w:ascii="Calibri" w:hAnsi="Calibri" w:eastAsia="Microsoft YaHei"/>
          <w:b/>
          <w:color w:val="0F2A4A"/>
          <w:sz w:val="28"/>
        </w:rPr>
        <w:t>1 · Measurement model  /  一、测量模型</w:t>
      </w:r>
    </w:p>
    <w:p>
      <w:pPr>
        <w:spacing w:after="80"/>
      </w:pPr>
      <w:r>
        <w:rPr>
          <w:rFonts w:ascii="Calibri" w:hAnsi="Calibri" w:eastAsia="Microsoft YaHei"/>
          <w:b w:val="0"/>
          <w:sz w:val="21"/>
        </w:rPr>
        <w:t>Y = Σ cᵢ · xᵢ   (default linear model)</w:t>
      </w:r>
      <w:r>
        <w:rPr>
          <w:rFonts w:ascii="Calibri" w:hAnsi="Calibri" w:eastAsia="Microsoft YaHei"/>
          <w:b w:val="0"/>
          <w:sz w:val="21"/>
        </w:rPr>
        <w:t xml:space="preserve">  Y = Σ cᵢ · xᵢ（默认线性模型）</w:t>
      </w:r>
    </w:p>
    <w:p>
      <w:pPr>
        <w:pBdr>
          <w:bottom w:val="single" w:sz="6" w:space="4" w:color="0F2A4A"/>
        </w:pBdr>
      </w:pPr>
      <w:r>
        <w:rPr>
          <w:rFonts w:ascii="Calibri" w:hAnsi="Calibri" w:eastAsia="Microsoft YaHei"/>
          <w:b/>
          <w:color w:val="0F2A4A"/>
          <w:sz w:val="28"/>
        </w:rPr>
        <w:t>2 · Uncertainty components (sample)  /  二、不确定度分量（示例）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592"/>
          </w:tcPr>
          <w:p>
            <w:pPr>
              <w:shd w:val="clear" w:color="auto" w:fill="0F2A4A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1008"/>
          </w:tcPr>
          <w:p>
            <w:pPr>
              <w:shd w:val="clear" w:color="auto" w:fill="0F2A4A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296"/>
          </w:tcPr>
          <w:p>
            <w:pPr>
              <w:shd w:val="clear" w:color="auto" w:fill="0F2A4A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Dist</w:t>
            </w:r>
          </w:p>
        </w:tc>
        <w:tc>
          <w:tcPr>
            <w:tcW w:type="dxa" w:w="1296"/>
          </w:tcPr>
          <w:p>
            <w:pPr>
              <w:shd w:val="clear" w:color="auto" w:fill="0F2A4A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uᵢ</w:t>
            </w:r>
          </w:p>
        </w:tc>
        <w:tc>
          <w:tcPr>
            <w:tcW w:type="dxa" w:w="1008"/>
          </w:tcPr>
          <w:p>
            <w:pPr>
              <w:shd w:val="clear" w:color="auto" w:fill="0F2A4A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cᵢ</w:t>
            </w:r>
          </w:p>
        </w:tc>
        <w:tc>
          <w:tcPr>
            <w:tcW w:type="dxa" w:w="1008"/>
          </w:tcPr>
          <w:p>
            <w:pPr>
              <w:shd w:val="clear" w:color="auto" w:fill="0F2A4A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νᵢ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Repeatability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normal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0.0200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1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9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Reference standard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B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normal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0.0150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1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100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Calibration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B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uniform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0.0058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1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50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Resolution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B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uniform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0.0029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1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50</w:t>
            </w:r>
          </w:p>
        </w:tc>
      </w:tr>
    </w:tbl>
    <w:p>
      <w:pPr>
        <w:pBdr>
          <w:bottom w:val="single" w:sz="6" w:space="4" w:color="0F2A4A"/>
        </w:pBdr>
      </w:pPr>
      <w:r>
        <w:rPr>
          <w:rFonts w:ascii="Calibri" w:hAnsi="Calibri" w:eastAsia="Microsoft YaHei"/>
          <w:b/>
          <w:color w:val="0F2A4A"/>
          <w:sz w:val="28"/>
        </w:rPr>
        <w:t>3 · Combined result (sample)  /  三、合成结果（示例）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</w:tcPr>
          <w:p>
            <w:pPr>
              <w:shd w:val="clear" w:color="auto" w:fill="0F2A4A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Quantity</w:t>
            </w:r>
          </w:p>
        </w:tc>
        <w:tc>
          <w:tcPr>
            <w:tcW w:type="dxa" w:w="2880"/>
          </w:tcPr>
          <w:p>
            <w:pPr>
              <w:shd w:val="clear" w:color="auto" w:fill="0F2A4A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u_c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0.0250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ν_eff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≈ 38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k (95%)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2.03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U = k·u_c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color w:val="14202E"/>
                <w:sz w:val="19"/>
              </w:rPr>
              <w:t>0.0508</w:t>
            </w:r>
          </w:p>
        </w:tc>
      </w:tr>
    </w:tbl>
    <w:p>
      <w:pPr>
        <w:pBdr>
          <w:bottom w:val="single" w:sz="6" w:space="4" w:color="0F2A4A"/>
        </w:pBdr>
      </w:pPr>
      <w:r>
        <w:rPr>
          <w:rFonts w:ascii="Calibri" w:hAnsi="Calibri" w:eastAsia="Microsoft YaHei"/>
          <w:b/>
          <w:color w:val="0F2A4A"/>
          <w:sz w:val="28"/>
        </w:rPr>
        <w:t>4 · What the FULL version adds  /  四、完整版额外包含</w:t>
      </w:r>
    </w:p>
    <w:p>
      <w:pPr>
        <w:pStyle w:val="ListBullet"/>
        <w:spacing w:after="40"/>
      </w:pPr>
      <w:r>
        <w:rPr>
          <w:rFonts w:ascii="Calibri" w:hAnsi="Calibri" w:eastAsia="Microsoft YaHei"/>
          <w:color w:val="5B6B7F"/>
          <w:sz w:val="21"/>
        </w:rPr>
        <w:t xml:space="preserve">Computed from YOUR entered components (any number, any distribution) —   </w:t>
      </w:r>
      <w:r>
        <w:rPr>
          <w:rFonts w:ascii="Calibri" w:hAnsi="Calibri" w:eastAsia="Microsoft YaHei"/>
          <w:color w:val="0F2A4A"/>
          <w:sz w:val="21"/>
        </w:rPr>
        <w:t>基于你输入的分量计算（任意数量/分布）</w:t>
      </w:r>
    </w:p>
    <w:p>
      <w:pPr>
        <w:pStyle w:val="ListBullet"/>
        <w:spacing w:after="40"/>
      </w:pPr>
      <w:r>
        <w:rPr>
          <w:rFonts w:ascii="Calibri" w:hAnsi="Calibri" w:eastAsia="Microsoft YaHei"/>
          <w:color w:val="5B6B7F"/>
          <w:sz w:val="21"/>
        </w:rPr>
        <w:t xml:space="preserve">Welch–Satterthwaite ν_eff and t-based k, or Monte-Carlo (JCGM 101) —   </w:t>
      </w:r>
      <w:r>
        <w:rPr>
          <w:rFonts w:ascii="Calibri" w:hAnsi="Calibri" w:eastAsia="Microsoft YaHei"/>
          <w:color w:val="0F2A4A"/>
          <w:sz w:val="21"/>
        </w:rPr>
        <w:t>Welch–Satterthwaite 有效自由度与 t 分布 k，或蒙特卡洛（JCGM 101）</w:t>
      </w:r>
    </w:p>
    <w:p>
      <w:pPr>
        <w:pStyle w:val="ListBullet"/>
        <w:spacing w:after="40"/>
      </w:pPr>
      <w:r>
        <w:rPr>
          <w:rFonts w:ascii="Calibri" w:hAnsi="Calibri" w:eastAsia="Microsoft YaHei"/>
          <w:color w:val="5B6B7F"/>
          <w:sz w:val="21"/>
        </w:rPr>
        <w:t xml:space="preserve">Context-linked report (body / industry / stage) —   </w:t>
      </w:r>
      <w:r>
        <w:rPr>
          <w:rFonts w:ascii="Calibri" w:hAnsi="Calibri" w:eastAsia="Microsoft YaHei"/>
          <w:color w:val="0F2A4A"/>
          <w:sz w:val="21"/>
        </w:rPr>
        <w:t>结合上下文的报告（机构/行业/阶段）</w:t>
      </w:r>
    </w:p>
    <w:p>
      <w:pPr>
        <w:pStyle w:val="ListBullet"/>
        <w:spacing w:after="40"/>
      </w:pPr>
      <w:r>
        <w:rPr>
          <w:rFonts w:ascii="Calibri" w:hAnsi="Calibri" w:eastAsia="Microsoft YaHei"/>
          <w:color w:val="5B6B7F"/>
          <w:sz w:val="21"/>
        </w:rPr>
        <w:t xml:space="preserve">Component contribution analysis &amp; recommendations —   </w:t>
      </w:r>
      <w:r>
        <w:rPr>
          <w:rFonts w:ascii="Calibri" w:hAnsi="Calibri" w:eastAsia="Microsoft YaHei"/>
          <w:color w:val="0F2A4A"/>
          <w:sz w:val="21"/>
        </w:rPr>
        <w:t>分量贡献率分析与建议</w:t>
      </w:r>
    </w:p>
    <w:p>
      <w:pPr>
        <w:pStyle w:val="ListBullet"/>
        <w:spacing w:after="40"/>
      </w:pPr>
      <w:r>
        <w:rPr>
          <w:rFonts w:ascii="Calibri" w:hAnsi="Calibri" w:eastAsia="Microsoft YaHei"/>
          <w:color w:val="5B6B7F"/>
          <w:sz w:val="21"/>
        </w:rPr>
        <w:t xml:space="preserve">Exportable, watermark-free Word (.docx) —   </w:t>
      </w:r>
      <w:r>
        <w:rPr>
          <w:rFonts w:ascii="Calibri" w:hAnsi="Calibri" w:eastAsia="Microsoft YaHei"/>
          <w:color w:val="0F2A4A"/>
          <w:sz w:val="21"/>
        </w:rPr>
        <w:t>可导出、去水印 Word</w:t>
      </w:r>
    </w:p>
    <w:p>
      <w:r>
        <w:rPr>
          <w:rFonts w:ascii="Calibri" w:hAnsi="Calibri" w:eastAsia="Microsoft YaHei"/>
          <w:b/>
          <w:color w:val="1F6FEB"/>
          <w:sz w:val="23"/>
        </w:rPr>
        <w:t>Unlock  /  解锁</w:t>
      </w:r>
    </w:p>
    <w:p>
      <w:pPr>
        <w:spacing w:after="80"/>
      </w:pPr>
      <w:r>
        <w:rPr>
          <w:rFonts w:ascii="Calibri" w:hAnsi="Calibri" w:eastAsia="Microsoft YaHei"/>
          <w:b w:val="0"/>
          <w:color w:val="5B6B7F"/>
          <w:sz w:val="20"/>
        </w:rPr>
        <w:t>Free users see the watermarked preview only. Unlock the context-linked report and export at labkitpro.com.</w:t>
      </w:r>
      <w:r>
        <w:rPr>
          <w:rFonts w:ascii="Calibri" w:hAnsi="Calibri" w:eastAsia="Microsoft YaHei"/>
          <w:b w:val="0"/>
          <w:color w:val="5B6B7F"/>
          <w:sz w:val="20"/>
        </w:rPr>
        <w:t xml:space="preserve">  免费用户仅看到带水印预览。解锁结合上下文的报告与导出：labkitpro.com。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94A3B8"/>
        <w:sz w:val="18"/>
      </w:rPr>
      <w:t xml:space="preserve">LabKitPro · Generic demo sample · Not a full deliverable    |    Page </w:t>
    </w:r>
    <w:r>
      <w:rPr>
        <w:rFonts w:ascii="Calibri" w:hAnsi="Calibri" w:eastAsia="Microsoft YaHei"/>
        <w:color w:val="94A3B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