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pBdr>
          <w:bottom w:val="single" w:sz="12" w:space="6" w:color="1F6FEB"/>
        </w:pBdr>
      </w:pPr>
      <w:r>
        <w:rPr>
          <w:rFonts w:ascii="Calibri" w:hAnsi="Calibri" w:eastAsia="Calibri"/>
          <w:b/>
          <w:color w:val="1F6FEB"/>
          <w:sz w:val="22"/>
        </w:rPr>
        <w:t>LABKITPRO</w:t>
      </w:r>
      <w:r>
        <w:rPr>
          <w:rFonts w:ascii="Calibri" w:hAnsi="Calibri" w:eastAsia="Calibri"/>
          <w:color w:val="5B6B7F"/>
          <w:sz w:val="18"/>
        </w:rPr>
        <w:t xml:space="preserve">   |   ISO/IEC 17025:2017 toolkit   |   Reality Diagnosis</w:t>
      </w:r>
    </w:p>
    <w:p>
      <w:pPr>
        <w:spacing w:before="200" w:after="40"/>
      </w:pPr>
      <w:r>
        <w:rPr>
          <w:rFonts w:ascii="Calibri" w:hAnsi="Calibri" w:eastAsia="Calibri"/>
          <w:b/>
          <w:color w:val="0F2A4A"/>
          <w:sz w:val="38"/>
        </w:rPr>
        <w:t>Laboratory Conformity Reality Diagnosis</w:t>
      </w:r>
    </w:p>
    <w:p>
      <w:pPr>
        <w:spacing w:after="80"/>
      </w:pPr>
      <w:r>
        <w:rPr>
          <w:rFonts w:ascii="Calibri" w:hAnsi="Calibri" w:eastAsia="Calibri"/>
          <w:i/>
          <w:color w:val="5B6B7F"/>
          <w:sz w:val="20"/>
        </w:rPr>
        <w:t>ISO/IEC 17025:2017 · generic framework diagnosis · not tailored to any laboratory</w:t>
      </w:r>
    </w:p>
    <w:p/>
    <w:p>
      <w:pPr w:spacing="160">
        <w:spacing w:before="40" w:after="240"/>
        <w:shd w:val="clear" w:color="auto" w:fill="FFF7ED"/>
        <w:pBdr>
          <w:left w:val="single" w:sz="30" w:space="6" w:color="F59E0B"/>
        </w:pBdr>
      </w:pPr>
      <w:r>
        <w:rPr>
          <w:rFonts w:ascii="Calibri" w:hAnsi="Calibri" w:eastAsia="Calibri"/>
          <w:b/>
          <w:color w:val="B45309"/>
          <w:sz w:val="21"/>
        </w:rPr>
        <w:t>DEMO SAMPLE — what this file is</w:t>
        <w:br/>
      </w:r>
      <w:r>
        <w:rPr>
          <w:rFonts w:ascii="Calibri" w:hAnsi="Calibri" w:eastAsia="Calibri"/>
          <w:color w:val="B45309"/>
          <w:sz w:val="19"/>
        </w:rPr>
        <w:t>A generic sample showing the structure and depth of a LabKitPro Reality Diagnosis report. The paid full version is tailored to your country, accreditation body, industry and the documents you upload.</w:t>
      </w:r>
    </w:p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1  Purpose</w:t>
      </w:r>
    </w:p>
    <w:p>
      <w:pPr>
        <w:spacing w:after="100" w:line="269" w:lineRule="auto"/>
      </w:pPr>
      <w:r>
        <w:rPr>
          <w:rFonts w:ascii="Calibri" w:hAnsi="Calibri" w:eastAsia="Calibri"/>
          <w:b w:val="0"/>
          <w:i w:val="0"/>
          <w:color w:val="14202E"/>
          <w:sz w:val="21"/>
        </w:rPr>
        <w:t>Self-assess the laboratory against ISO/IEC 17025:2017 clauses §4–§8, overlaid with the real review focus of the selected accreditation body, and convert findings into prioritised actions.</w:t>
      </w:r>
    </w:p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2  Scope</w:t>
      </w:r>
    </w:p>
    <w:p>
      <w:pPr>
        <w:spacing w:after="100" w:line="269" w:lineRule="auto"/>
      </w:pPr>
      <w:r>
        <w:rPr>
          <w:rFonts w:ascii="Calibri" w:hAnsi="Calibri" w:eastAsia="Calibri"/>
          <w:b w:val="0"/>
          <w:i w:val="0"/>
          <w:color w:val="14202E"/>
          <w:sz w:val="21"/>
        </w:rPr>
        <w:t>Generic ISO/IEC 17025:2017 framework applicable to all laboratories. The full version narrows to your selected body (A2LA, UKAS, NABL, …), your laboratory type and your industry.</w:t>
      </w:r>
    </w:p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3  Eight-lens conformity snapshot (sample)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Lens</w:t>
            </w:r>
          </w:p>
        </w:tc>
        <w:tc>
          <w:tcPr>
            <w:tcW w:type="dxa" w:w="1440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Sample rating</w:t>
            </w:r>
          </w:p>
        </w:tc>
        <w:tc>
          <w:tcPr>
            <w:tcW w:type="dxa" w:w="5040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Sample observation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Man (personnel)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Competence records incomplete for two analysts</w:t>
            </w:r>
          </w:p>
        </w:tc>
      </w:tr>
      <w:tr>
        <w:tc>
          <w:tcPr>
            <w:tcW w:type="dxa" w:w="244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Machine (equipment)</w:t>
            </w:r>
          </w:p>
        </w:tc>
        <w:tc>
          <w:tcPr>
            <w:tcW w:type="dxa" w:w="14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Good</w:t>
            </w:r>
          </w:p>
        </w:tc>
        <w:tc>
          <w:tcPr>
            <w:tcW w:type="dxa" w:w="50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Calibration status current; interim checks ad hoc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Material (items)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Handling and storage procedures present, not fully applied</w:t>
            </w:r>
          </w:p>
        </w:tc>
      </w:tr>
      <w:tr>
        <w:tc>
          <w:tcPr>
            <w:tcW w:type="dxa" w:w="244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Method</w:t>
            </w:r>
          </w:p>
        </w:tc>
        <w:tc>
          <w:tcPr>
            <w:tcW w:type="dxa" w:w="14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</w:t>
            </w:r>
          </w:p>
        </w:tc>
        <w:tc>
          <w:tcPr>
            <w:tcW w:type="dxa" w:w="50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Method validation evidence thin for two methods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Environment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Good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Monitoring data available; limits not formally justified</w:t>
            </w:r>
          </w:p>
        </w:tc>
      </w:tr>
      <w:tr>
        <w:tc>
          <w:tcPr>
            <w:tcW w:type="dxa" w:w="244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Measurement (MU)</w:t>
            </w:r>
          </w:p>
        </w:tc>
        <w:tc>
          <w:tcPr>
            <w:tcW w:type="dxa" w:w="14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</w:t>
            </w:r>
          </w:p>
        </w:tc>
        <w:tc>
          <w:tcPr>
            <w:tcW w:type="dxa" w:w="50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Uncertainty budgets exist but not maintained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System (management)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Internal-audit trail and CAPA closure weak</w:t>
            </w:r>
          </w:p>
        </w:tc>
      </w:tr>
      <w:tr>
        <w:tc>
          <w:tcPr>
            <w:tcW w:type="dxa" w:w="244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Impartiality</w:t>
            </w:r>
          </w:p>
        </w:tc>
        <w:tc>
          <w:tcPr>
            <w:tcW w:type="dxa" w:w="14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Good</w:t>
            </w:r>
          </w:p>
        </w:tc>
        <w:tc>
          <w:tcPr>
            <w:tcW w:type="dxa" w:w="5040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Policy present; risk review performed annually</w:t>
            </w:r>
          </w:p>
        </w:tc>
      </w:tr>
    </w:tbl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4  Clause-section snapshot (sample)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Clause</w:t>
            </w:r>
          </w:p>
        </w:tc>
        <w:tc>
          <w:tcPr>
            <w:tcW w:type="dxa" w:w="1872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Sample status</w:t>
            </w:r>
          </w:p>
        </w:tc>
        <w:tc>
          <w:tcPr>
            <w:tcW w:type="dxa" w:w="3744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Illustrative gap</w:t>
            </w:r>
          </w:p>
        </w:tc>
        <w:tc>
          <w:tcPr>
            <w:tcW w:type="dxa" w:w="1728"/>
            <w:shd w:val="clear" w:color="auto" w:fill="0F2A4A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Linked template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§4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 · 70%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Impartiality commitment not re-dated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FR-02</w:t>
            </w:r>
          </w:p>
        </w:tc>
      </w:tr>
      <w:tr>
        <w:tc>
          <w:tcPr>
            <w:tcW w:type="dxa" w:w="115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§5</w:t>
            </w:r>
          </w:p>
        </w:tc>
        <w:tc>
          <w:tcPr>
            <w:tcW w:type="dxa" w:w="187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 · 65%</w:t>
            </w:r>
          </w:p>
        </w:tc>
        <w:tc>
          <w:tcPr>
            <w:tcW w:type="dxa" w:w="3744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Responsibility matrix incomplete</w:t>
            </w:r>
          </w:p>
        </w:tc>
        <w:tc>
          <w:tcPr>
            <w:tcW w:type="dxa" w:w="172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FR-04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§6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 · 60%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Competence monitoring weak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FR-09</w:t>
            </w:r>
          </w:p>
        </w:tc>
      </w:tr>
      <w:tr>
        <w:tc>
          <w:tcPr>
            <w:tcW w:type="dxa" w:w="115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§7</w:t>
            </w:r>
          </w:p>
        </w:tc>
        <w:tc>
          <w:tcPr>
            <w:tcW w:type="dxa" w:w="1872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 · 55%</w:t>
            </w:r>
          </w:p>
        </w:tc>
        <w:tc>
          <w:tcPr>
            <w:tcW w:type="dxa" w:w="3744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Method validation thin</w:t>
            </w:r>
          </w:p>
        </w:tc>
        <w:tc>
          <w:tcPr>
            <w:tcW w:type="dxa" w:w="1728"/>
            <w:shd w:val="clear" w:color="auto" w:fill="F3F7FC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FR-13</w:t>
            </w:r>
          </w:p>
        </w:tc>
      </w:tr>
      <w:tr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§8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Partial · 68%</w:t>
            </w:r>
          </w:p>
        </w:tc>
        <w:tc>
          <w:tcPr>
            <w:tcW w:type="dxa" w:w="3744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Internal-audit trail sparse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color w:val="14202E"/>
                <w:sz w:val="18"/>
              </w:rPr>
              <w:t>FR-21</w:t>
            </w:r>
          </w:p>
        </w:tc>
      </w:tr>
    </w:tbl>
    <w:p>
      <w:pPr>
        <w:spacing w:before="280" w:after="100"/>
        <w:pBdr>
          <w:bottom w:val="single" w:sz="6" w:space="6" w:color="0F2A4A"/>
        </w:pBdr>
      </w:pPr>
      <w:r>
        <w:rPr>
          <w:rFonts w:ascii="Calibri" w:hAnsi="Calibri" w:eastAsia="Calibri"/>
          <w:b/>
          <w:color w:val="0F2A4A"/>
          <w:sz w:val="27"/>
        </w:rPr>
        <w:t>5  What the full deliverable adds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Narrative consultant view — </w:t>
      </w:r>
      <w:r>
        <w:rPr>
          <w:rFonts w:ascii="Calibri" w:hAnsi="Calibri" w:eastAsia="Calibri"/>
          <w:b/>
          <w:color w:val="0F2A4A"/>
          <w:sz w:val="21"/>
        </w:rPr>
        <w:t>bright spots, overall judgement and priority actions, written for you.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Body-specific focus — </w:t>
      </w:r>
      <w:r>
        <w:rPr>
          <w:rFonts w:ascii="Calibri" w:hAnsi="Calibri" w:eastAsia="Calibri"/>
          <w:b/>
          <w:color w:val="0F2A4A"/>
          <w:sz w:val="21"/>
        </w:rPr>
        <w:t>your accreditation body’s real review points and mandatory clauses.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Your inputs used directly — </w:t>
      </w:r>
      <w:r>
        <w:rPr>
          <w:rFonts w:ascii="Calibri" w:hAnsi="Calibri" w:eastAsia="Calibri"/>
          <w:b/>
          <w:color w:val="0F2A4A"/>
          <w:sz w:val="21"/>
        </w:rPr>
        <w:t>country, body, industry, stage and any document you upload.</w:t>
      </w:r>
    </w:p>
    <w:p>
      <w:pPr>
        <w:pStyle w:val="ListBullet"/>
        <w:spacing w:after="60"/>
      </w:pPr>
      <w:r>
        <w:rPr>
          <w:rFonts w:ascii="Calibri" w:hAnsi="Calibri" w:eastAsia="Calibri"/>
          <w:color w:val="5B6B7F"/>
          <w:sz w:val="21"/>
        </w:rPr>
        <w:t xml:space="preserve">Exportable, watermark-free Word (.docx) — </w:t>
      </w:r>
      <w:r>
        <w:rPr>
          <w:rFonts w:ascii="Calibri" w:hAnsi="Calibri" w:eastAsia="Calibri"/>
          <w:b/>
          <w:color w:val="0F2A4A"/>
          <w:sz w:val="21"/>
        </w:rPr>
        <w:t>ready to circulate internally.</w:t>
      </w:r>
    </w:p>
    <w:p>
      <w:pPr>
        <w:spacing w:after="100" w:line="269" w:lineRule="auto"/>
      </w:pPr>
      <w:r>
        <w:rPr>
          <w:rFonts w:ascii="Calibri" w:hAnsi="Calibri" w:eastAsia="Calibri"/>
          <w:b w:val="0"/>
          <w:i/>
          <w:color w:val="5B6B7F"/>
          <w:sz w:val="20"/>
        </w:rPr>
        <w:t>Free users see the generic framework version above. Unlock the tailored, watermark-free deliverable at labkitpro.com.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94A3B8"/>
        <w:sz w:val="17"/>
      </w:rPr>
      <w:t xml:space="preserve">LabKitPro  ·  ISO/IEC 17025:2017 toolkit  ·  labkitpro.com        Page </w:t>
    </w:r>
    <w:r>
      <w:rPr>
        <w:rFonts w:ascii="Calibri" w:hAnsi="Calibri" w:eastAsia="Calibri"/>
        <w:color w:val="94A3B8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color w:val="94A3B8"/>
        <w:sz w:val="16"/>
      </w:rPr>
      <w:t>DEMO SAMPLE  ·  NOT A FULL DELIVERABLE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