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pBdr>
          <w:bottom w:val="single" w:sz="12" w:space="6" w:color="1F6FEB"/>
        </w:pBdr>
      </w:pPr>
      <w:r>
        <w:rPr>
          <w:rFonts w:ascii="Calibri" w:hAnsi="Calibri" w:eastAsia="Calibri"/>
          <w:b/>
          <w:color w:val="1F6FEB"/>
          <w:sz w:val="22"/>
        </w:rPr>
        <w:t>LABKITPRO</w:t>
      </w:r>
      <w:r>
        <w:rPr>
          <w:rFonts w:ascii="Calibri" w:hAnsi="Calibri" w:eastAsia="Calibri"/>
          <w:color w:val="5B6B7F"/>
          <w:sz w:val="18"/>
        </w:rPr>
        <w:t xml:space="preserve">   |   ISO/IEC 17025:2017 toolkit   |   Compliance Review</w:t>
      </w:r>
    </w:p>
    <w:p>
      <w:pPr>
        <w:spacing w:before="200" w:after="40"/>
      </w:pPr>
      <w:r>
        <w:rPr>
          <w:rFonts w:ascii="Calibri" w:hAnsi="Calibri" w:eastAsia="Calibri"/>
          <w:b/>
          <w:color w:val="0F2A4A"/>
          <w:sz w:val="38"/>
        </w:rPr>
        <w:t>ISO/IEC 17025:2017 Compliance Review</w:t>
      </w:r>
    </w:p>
    <w:p>
      <w:pPr>
        <w:spacing w:after="80"/>
      </w:pPr>
      <w:r>
        <w:rPr>
          <w:rFonts w:ascii="Calibri" w:hAnsi="Calibri" w:eastAsia="Calibri"/>
          <w:i/>
          <w:color w:val="5B6B7F"/>
          <w:sz w:val="20"/>
        </w:rPr>
        <w:t>FR-25 internal-audit checklist · generic gap analysis · not tailored to any document</w:t>
      </w:r>
    </w:p>
    <w:p/>
    <w:p>
      <w:pPr w:spacing="160">
        <w:spacing w:before="40" w:after="240"/>
        <w:shd w:val="clear" w:color="auto" w:fill="FFF7ED"/>
        <w:pBdr>
          <w:left w:val="single" w:sz="30" w:space="6" w:color="F59E0B"/>
        </w:pBdr>
      </w:pPr>
      <w:r>
        <w:rPr>
          <w:rFonts w:ascii="Calibri" w:hAnsi="Calibri" w:eastAsia="Calibri"/>
          <w:b/>
          <w:color w:val="B45309"/>
          <w:sz w:val="21"/>
        </w:rPr>
        <w:t>DEMO SAMPLE — what this file is</w:t>
        <w:br/>
      </w:r>
      <w:r>
        <w:rPr>
          <w:rFonts w:ascii="Calibri" w:hAnsi="Calibri" w:eastAsia="Calibri"/>
          <w:color w:val="B45309"/>
          <w:sz w:val="19"/>
        </w:rPr>
        <w:t>A generic sample showing the structure of a LabKitPro Compliance Review. The paid full version is built from your self-assessment ratings and your country / body / industry context.</w:t>
      </w:r>
    </w:p>
    <w:p>
      <w:pPr>
        <w:spacing w:before="280" w:after="100"/>
        <w:pBdr>
          <w:bottom w:val="single" w:sz="6" w:space="6" w:color="0F2A4A"/>
        </w:pBdr>
      </w:pPr>
      <w:r>
        <w:rPr>
          <w:rFonts w:ascii="Calibri" w:hAnsi="Calibri" w:eastAsia="Calibri"/>
          <w:b/>
          <w:color w:val="0F2A4A"/>
          <w:sz w:val="27"/>
        </w:rPr>
        <w:t>1  Purpose</w:t>
      </w:r>
    </w:p>
    <w:p>
      <w:pPr>
        <w:spacing w:after="100" w:line="269" w:lineRule="auto"/>
      </w:pPr>
      <w:r>
        <w:rPr>
          <w:rFonts w:ascii="Calibri" w:hAnsi="Calibri" w:eastAsia="Calibri"/>
          <w:b w:val="0"/>
          <w:i w:val="0"/>
          <w:color w:val="14202E"/>
          <w:sz w:val="21"/>
        </w:rPr>
        <w:t>Clause-by-clause self-assessment against the FR-25 internal-audit checklist (119 items) of ISO/IEC 17025:2017, producing a gap and corrective-action list mapped to the laboratory’s own documents.</w:t>
      </w:r>
    </w:p>
    <w:p>
      <w:pPr>
        <w:spacing w:before="280" w:after="100"/>
        <w:pBdr>
          <w:bottom w:val="single" w:sz="6" w:space="6" w:color="0F2A4A"/>
        </w:pBdr>
      </w:pPr>
      <w:r>
        <w:rPr>
          <w:rFonts w:ascii="Calibri" w:hAnsi="Calibri" w:eastAsia="Calibri"/>
          <w:b/>
          <w:color w:val="0F2A4A"/>
          <w:sz w:val="27"/>
        </w:rPr>
        <w:t>2  Readiness summary (sample)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48"/>
            <w:shd w:val="clear" w:color="auto" w:fill="0F2A4A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1296"/>
            <w:shd w:val="clear" w:color="auto" w:fill="0F2A4A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Items</w:t>
            </w:r>
          </w:p>
        </w:tc>
        <w:tc>
          <w:tcPr>
            <w:tcW w:type="dxa" w:w="1728"/>
            <w:shd w:val="clear" w:color="auto" w:fill="0F2A4A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Compliant</w:t>
            </w:r>
          </w:p>
        </w:tc>
        <w:tc>
          <w:tcPr>
            <w:tcW w:type="dxa" w:w="1728"/>
            <w:shd w:val="clear" w:color="auto" w:fill="0F2A4A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Readiness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§4 General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8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7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88%</w:t>
            </w:r>
          </w:p>
        </w:tc>
      </w:tr>
      <w:tr>
        <w:tc>
          <w:tcPr>
            <w:tcW w:type="dxa" w:w="2448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§5 Structural</w:t>
            </w:r>
          </w:p>
        </w:tc>
        <w:tc>
          <w:tcPr>
            <w:tcW w:type="dxa" w:w="1296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6</w:t>
            </w:r>
          </w:p>
        </w:tc>
        <w:tc>
          <w:tcPr>
            <w:tcW w:type="dxa" w:w="1728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5</w:t>
            </w:r>
          </w:p>
        </w:tc>
        <w:tc>
          <w:tcPr>
            <w:tcW w:type="dxa" w:w="1728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83%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§6 Resource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24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15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63%</w:t>
            </w:r>
          </w:p>
        </w:tc>
      </w:tr>
      <w:tr>
        <w:tc>
          <w:tcPr>
            <w:tcW w:type="dxa" w:w="2448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§7 Process</w:t>
            </w:r>
          </w:p>
        </w:tc>
        <w:tc>
          <w:tcPr>
            <w:tcW w:type="dxa" w:w="1296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49</w:t>
            </w:r>
          </w:p>
        </w:tc>
        <w:tc>
          <w:tcPr>
            <w:tcW w:type="dxa" w:w="1728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30</w:t>
            </w:r>
          </w:p>
        </w:tc>
        <w:tc>
          <w:tcPr>
            <w:tcW w:type="dxa" w:w="1728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61%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§8 Management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32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22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69%</w:t>
            </w:r>
          </w:p>
        </w:tc>
      </w:tr>
    </w:tbl>
    <w:p>
      <w:pPr>
        <w:spacing w:before="280" w:after="100"/>
        <w:pBdr>
          <w:bottom w:val="single" w:sz="6" w:space="6" w:color="0F2A4A"/>
        </w:pBdr>
      </w:pPr>
      <w:r>
        <w:rPr>
          <w:rFonts w:ascii="Calibri" w:hAnsi="Calibri" w:eastAsia="Calibri"/>
          <w:b/>
          <w:color w:val="0F2A4A"/>
          <w:sz w:val="27"/>
        </w:rPr>
        <w:t>3  Sample gap and corrective-action 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color="auto" w:fill="0F2A4A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Clause</w:t>
            </w:r>
          </w:p>
        </w:tc>
        <w:tc>
          <w:tcPr>
            <w:tcW w:type="dxa" w:w="4032"/>
            <w:shd w:val="clear" w:color="auto" w:fill="0F2A4A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Finding (sample)</w:t>
            </w:r>
          </w:p>
        </w:tc>
        <w:tc>
          <w:tcPr>
            <w:tcW w:type="dxa" w:w="3456"/>
            <w:shd w:val="clear" w:color="auto" w:fill="0F2A4A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Required evidence</w:t>
            </w:r>
          </w:p>
        </w:tc>
      </w:tr>
      <w:tr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§6.2</w:t>
            </w:r>
          </w:p>
        </w:tc>
        <w:tc>
          <w:tcPr>
            <w:tcW w:type="dxa" w:w="4032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Personnel competence records incomplete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Training and authorisation log</w:t>
            </w:r>
          </w:p>
        </w:tc>
      </w:tr>
      <w:tr>
        <w:tc>
          <w:tcPr>
            <w:tcW w:type="dxa" w:w="1152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§7.2</w:t>
            </w:r>
          </w:p>
        </w:tc>
        <w:tc>
          <w:tcPr>
            <w:tcW w:type="dxa" w:w="4032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Method validation evidence thin</w:t>
            </w:r>
          </w:p>
        </w:tc>
        <w:tc>
          <w:tcPr>
            <w:tcW w:type="dxa" w:w="3456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Validation report per scope method</w:t>
            </w:r>
          </w:p>
        </w:tc>
      </w:tr>
      <w:tr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§7.7</w:t>
            </w:r>
          </w:p>
        </w:tc>
        <w:tc>
          <w:tcPr>
            <w:tcW w:type="dxa" w:w="4032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QC / proficiency-testing coverage partial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Control charts and PT records</w:t>
            </w:r>
          </w:p>
        </w:tc>
      </w:tr>
      <w:tr>
        <w:tc>
          <w:tcPr>
            <w:tcW w:type="dxa" w:w="1152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§8.3</w:t>
            </w:r>
          </w:p>
        </w:tc>
        <w:tc>
          <w:tcPr>
            <w:tcW w:type="dxa" w:w="4032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Internal-audit trail sparse</w:t>
            </w:r>
          </w:p>
        </w:tc>
        <w:tc>
          <w:tcPr>
            <w:tcW w:type="dxa" w:w="3456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Audit plan and findings log</w:t>
            </w:r>
          </w:p>
        </w:tc>
      </w:tr>
    </w:tbl>
    <w:p>
      <w:pPr>
        <w:spacing w:before="280" w:after="100"/>
        <w:pBdr>
          <w:bottom w:val="single" w:sz="6" w:space="6" w:color="0F2A4A"/>
        </w:pBdr>
      </w:pPr>
      <w:r>
        <w:rPr>
          <w:rFonts w:ascii="Calibri" w:hAnsi="Calibri" w:eastAsia="Calibri"/>
          <w:b/>
          <w:color w:val="0F2A4A"/>
          <w:sz w:val="27"/>
        </w:rPr>
        <w:t>4  What the full deliverable adds</w:t>
      </w:r>
    </w:p>
    <w:p>
      <w:pPr>
        <w:pStyle w:val="ListBullet"/>
        <w:spacing w:after="60"/>
      </w:pPr>
      <w:r>
        <w:rPr>
          <w:rFonts w:ascii="Calibri" w:hAnsi="Calibri" w:eastAsia="Calibri"/>
          <w:color w:val="5B6B7F"/>
          <w:sz w:val="21"/>
        </w:rPr>
        <w:t xml:space="preserve">Your overall readiness rate — </w:t>
      </w:r>
      <w:r>
        <w:rPr>
          <w:rFonts w:ascii="Calibri" w:hAnsi="Calibri" w:eastAsia="Calibri"/>
          <w:b/>
          <w:color w:val="0F2A4A"/>
          <w:sz w:val="21"/>
        </w:rPr>
        <w:t>and the weakest clause, computed from your own ratings.</w:t>
      </w:r>
    </w:p>
    <w:p>
      <w:pPr>
        <w:pStyle w:val="ListBullet"/>
        <w:spacing w:after="60"/>
      </w:pPr>
      <w:r>
        <w:rPr>
          <w:rFonts w:ascii="Calibri" w:hAnsi="Calibri" w:eastAsia="Calibri"/>
          <w:color w:val="5B6B7F"/>
          <w:sz w:val="21"/>
        </w:rPr>
        <w:t xml:space="preserve">Body-specific focus — </w:t>
      </w:r>
      <w:r>
        <w:rPr>
          <w:rFonts w:ascii="Calibri" w:hAnsi="Calibri" w:eastAsia="Calibri"/>
          <w:b/>
          <w:color w:val="0F2A4A"/>
          <w:sz w:val="21"/>
        </w:rPr>
        <w:t>review points for YOUR body (A2LA / UKAS / NABL / …).</w:t>
      </w:r>
    </w:p>
    <w:p>
      <w:pPr>
        <w:pStyle w:val="ListBullet"/>
        <w:spacing w:after="60"/>
      </w:pPr>
      <w:r>
        <w:rPr>
          <w:rFonts w:ascii="Calibri" w:hAnsi="Calibri" w:eastAsia="Calibri"/>
          <w:color w:val="5B6B7F"/>
          <w:sz w:val="21"/>
        </w:rPr>
        <w:t xml:space="preserve">Industry focus woven in — </w:t>
      </w:r>
      <w:r>
        <w:rPr>
          <w:rFonts w:ascii="Calibri" w:hAnsi="Calibri" w:eastAsia="Calibri"/>
          <w:b/>
          <w:color w:val="0F2A4A"/>
          <w:sz w:val="21"/>
        </w:rPr>
        <w:t>so findings reflect your testing or calibration field.</w:t>
      </w:r>
    </w:p>
    <w:p>
      <w:pPr>
        <w:pStyle w:val="ListBullet"/>
        <w:spacing w:after="60"/>
      </w:pPr>
      <w:r>
        <w:rPr>
          <w:rFonts w:ascii="Calibri" w:hAnsi="Calibri" w:eastAsia="Calibri"/>
          <w:color w:val="5B6B7F"/>
          <w:sz w:val="21"/>
        </w:rPr>
        <w:t xml:space="preserve">Linked remediation templates — </w:t>
      </w:r>
      <w:r>
        <w:rPr>
          <w:rFonts w:ascii="Calibri" w:hAnsi="Calibri" w:eastAsia="Calibri"/>
          <w:b/>
          <w:color w:val="0F2A4A"/>
          <w:sz w:val="21"/>
        </w:rPr>
        <w:t>from the 87-document ISO/IEC 17025 knowledge base.</w:t>
      </w:r>
    </w:p>
    <w:p>
      <w:pPr>
        <w:pStyle w:val="ListBullet"/>
        <w:spacing w:after="60"/>
      </w:pPr>
      <w:r>
        <w:rPr>
          <w:rFonts w:ascii="Calibri" w:hAnsi="Calibri" w:eastAsia="Calibri"/>
          <w:color w:val="5B6B7F"/>
          <w:sz w:val="21"/>
        </w:rPr>
        <w:t xml:space="preserve">Exportable, watermark-free Word (.docx) — </w:t>
      </w:r>
      <w:r>
        <w:rPr>
          <w:rFonts w:ascii="Calibri" w:hAnsi="Calibri" w:eastAsia="Calibri"/>
          <w:b/>
          <w:color w:val="0F2A4A"/>
          <w:sz w:val="21"/>
        </w:rPr>
        <w:t>ready for your quality file.</w:t>
      </w:r>
    </w:p>
    <w:p>
      <w:pPr>
        <w:spacing w:after="100" w:line="269" w:lineRule="auto"/>
      </w:pPr>
      <w:r>
        <w:rPr>
          <w:rFonts w:ascii="Calibri" w:hAnsi="Calibri" w:eastAsia="Calibri"/>
          <w:b w:val="0"/>
          <w:i/>
          <w:color w:val="5B6B7F"/>
          <w:sz w:val="20"/>
        </w:rPr>
        <w:t>Free users see the generic screen interpretation. Unlock the context-aware review and export at labkitpro.com.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color w:val="94A3B8"/>
        <w:sz w:val="17"/>
      </w:rPr>
      <w:t xml:space="preserve">LabKitPro  ·  ISO/IEC 17025:2017 toolkit  ·  labkitpro.com        Page </w:t>
    </w:r>
    <w:r>
      <w:rPr>
        <w:rFonts w:ascii="Calibri" w:hAnsi="Calibri" w:eastAsia="Calibri"/>
        <w:color w:val="94A3B8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/>
        <w:color w:val="94A3B8"/>
        <w:sz w:val="16"/>
      </w:rPr>
      <w:t>DEMO SAMPLE  ·  NOT A FULL DELIVERABLE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