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Bdr>
          <w:bottom w:val="single" w:sz="12" w:space="6" w:color="1F6FEB"/>
        </w:pBdr>
      </w:pPr>
      <w:r>
        <w:rPr>
          <w:rFonts w:ascii="Calibri" w:hAnsi="Calibri" w:eastAsia="Calibri"/>
          <w:b/>
          <w:color w:val="1F6FEB"/>
          <w:sz w:val="22"/>
        </w:rPr>
        <w:t>LABKITPRO</w:t>
      </w:r>
      <w:r>
        <w:rPr>
          <w:rFonts w:ascii="Calibri" w:hAnsi="Calibri" w:eastAsia="Calibri"/>
          <w:color w:val="5B6B7F"/>
          <w:sz w:val="18"/>
        </w:rPr>
        <w:t xml:space="preserve">   |   ISO/IEC 17025:2017 toolkit   |   Document Generation</w:t>
      </w:r>
    </w:p>
    <w:p>
      <w:pPr>
        <w:spacing w:before="200" w:after="40"/>
      </w:pPr>
      <w:r>
        <w:rPr>
          <w:rFonts w:ascii="Calibri" w:hAnsi="Calibri" w:eastAsia="Calibri"/>
          <w:b/>
          <w:color w:val="0F2A4A"/>
          <w:sz w:val="38"/>
        </w:rPr>
        <w:t>Quality Manual — Structure Sample (Excerpt)</w:t>
      </w:r>
    </w:p>
    <w:p>
      <w:pPr>
        <w:spacing w:after="80"/>
      </w:pPr>
      <w:r>
        <w:rPr>
          <w:rFonts w:ascii="Calibri" w:hAnsi="Calibri" w:eastAsia="Calibri"/>
          <w:i/>
          <w:color w:val="5B6B7F"/>
          <w:sz w:val="20"/>
        </w:rPr>
        <w:t>ISO/IEC 17025:2017 · generic structure and depth · not tailored to any laboratory</w:t>
      </w:r>
    </w:p>
    <w:p/>
    <w:p>
      <w:pPr w:spacing="160">
        <w:spacing w:before="40" w:after="240"/>
        <w:shd w:val="clear" w:color="auto" w:fill="FFF7ED"/>
        <w:pBdr>
          <w:left w:val="single" w:sz="30" w:space="6" w:color="F59E0B"/>
        </w:pBdr>
      </w:pPr>
      <w:r>
        <w:rPr>
          <w:rFonts w:ascii="Calibri" w:hAnsi="Calibri" w:eastAsia="Calibri"/>
          <w:b/>
          <w:color w:val="B45309"/>
          <w:sz w:val="21"/>
        </w:rPr>
        <w:t>DEMO SAMPLE — what this file is</w:t>
        <w:br/>
      </w:r>
      <w:r>
        <w:rPr>
          <w:rFonts w:ascii="Calibri" w:hAnsi="Calibri" w:eastAsia="Calibri"/>
          <w:color w:val="B45309"/>
          <w:sz w:val="19"/>
        </w:rPr>
        <w:t>A generic sample of the structure and depth LabKitPro produces for a one-sentence request. The paid full deliverable is generated around your country, accreditation body, industry and the documents you upload — with clause-level detail, mandatory procedures and prohibited terms woven in.</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304"/>
            <w:shd w:val="clear" w:color="auto" w:fill="0F2A4A"/>
          </w:tcPr>
          <w:p>
            <w:pPr>
              <w:spacing w:after="0"/>
            </w:pPr>
            <w:r/>
            <w:r>
              <w:rPr>
                <w:rFonts w:ascii="Calibri" w:hAnsi="Calibri" w:eastAsia="Calibri"/>
                <w:b/>
                <w:color w:val="FFFFFF"/>
                <w:sz w:val="18"/>
              </w:rPr>
              <w:t>Document No.</w:t>
            </w:r>
          </w:p>
        </w:tc>
        <w:tc>
          <w:tcPr>
            <w:tcW w:type="dxa" w:w="1440"/>
            <w:shd w:val="clear" w:color="auto" w:fill="0F2A4A"/>
          </w:tcPr>
          <w:p>
            <w:pPr>
              <w:spacing w:after="0"/>
            </w:pPr>
            <w:r/>
            <w:r>
              <w:rPr>
                <w:rFonts w:ascii="Calibri" w:hAnsi="Calibri" w:eastAsia="Calibri"/>
                <w:b/>
                <w:color w:val="FFFFFF"/>
                <w:sz w:val="18"/>
              </w:rPr>
              <w:t>Revision</w:t>
            </w:r>
          </w:p>
        </w:tc>
        <w:tc>
          <w:tcPr>
            <w:tcW w:type="dxa" w:w="2016"/>
            <w:shd w:val="clear" w:color="auto" w:fill="0F2A4A"/>
          </w:tcPr>
          <w:p>
            <w:pPr>
              <w:spacing w:after="0"/>
            </w:pPr>
            <w:r/>
            <w:r>
              <w:rPr>
                <w:rFonts w:ascii="Calibri" w:hAnsi="Calibri" w:eastAsia="Calibri"/>
                <w:b/>
                <w:color w:val="FFFFFF"/>
                <w:sz w:val="18"/>
              </w:rPr>
              <w:t>Issue date</w:t>
            </w:r>
          </w:p>
        </w:tc>
        <w:tc>
          <w:tcPr>
            <w:tcW w:type="dxa" w:w="3744"/>
            <w:shd w:val="clear" w:color="auto" w:fill="0F2A4A"/>
          </w:tcPr>
          <w:p>
            <w:pPr>
              <w:spacing w:after="0"/>
            </w:pPr>
            <w:r/>
            <w:r>
              <w:rPr>
                <w:rFonts w:ascii="Calibri" w:hAnsi="Calibri" w:eastAsia="Calibri"/>
                <w:b/>
                <w:color w:val="FFFFFF"/>
                <w:sz w:val="18"/>
              </w:rPr>
              <w:t>Prepared / approved by</w:t>
            </w:r>
          </w:p>
        </w:tc>
      </w:tr>
      <w:tr>
        <w:tc>
          <w:tcPr>
            <w:tcW w:type="dxa" w:w="2304"/>
          </w:tcPr>
          <w:p>
            <w:pPr>
              <w:spacing w:after="0"/>
            </w:pPr>
            <w:r/>
            <w:r>
              <w:rPr>
                <w:rFonts w:ascii="Calibri" w:hAnsi="Calibri" w:eastAsia="Calibri"/>
                <w:color w:val="14202E"/>
                <w:sz w:val="18"/>
              </w:rPr>
              <w:t>QM-01</w:t>
            </w:r>
          </w:p>
        </w:tc>
        <w:tc>
          <w:tcPr>
            <w:tcW w:type="dxa" w:w="1440"/>
          </w:tcPr>
          <w:p>
            <w:pPr>
              <w:spacing w:after="0"/>
            </w:pPr>
            <w:r/>
            <w:r>
              <w:rPr>
                <w:rFonts w:ascii="Calibri" w:hAnsi="Calibri" w:eastAsia="Calibri"/>
                <w:color w:val="14202E"/>
                <w:sz w:val="18"/>
              </w:rPr>
              <w:t>1.0</w:t>
            </w:r>
          </w:p>
        </w:tc>
        <w:tc>
          <w:tcPr>
            <w:tcW w:type="dxa" w:w="2016"/>
          </w:tcPr>
          <w:p>
            <w:pPr>
              <w:spacing w:after="0"/>
            </w:pPr>
            <w:r/>
            <w:r>
              <w:rPr>
                <w:rFonts w:ascii="Calibri" w:hAnsi="Calibri" w:eastAsia="Calibri"/>
                <w:color w:val="14202E"/>
                <w:sz w:val="18"/>
              </w:rPr>
              <w:t>2026-10-12</w:t>
            </w:r>
          </w:p>
        </w:tc>
        <w:tc>
          <w:tcPr>
            <w:tcW w:type="dxa" w:w="3744"/>
          </w:tcPr>
          <w:p>
            <w:pPr>
              <w:spacing w:after="0"/>
            </w:pPr>
            <w:r/>
            <w:r>
              <w:rPr>
                <w:rFonts w:ascii="Calibri" w:hAnsi="Calibri" w:eastAsia="Calibri"/>
                <w:color w:val="14202E"/>
                <w:sz w:val="18"/>
              </w:rPr>
              <w:t>Quality Manager / Managing Director</w:t>
            </w:r>
          </w:p>
        </w:tc>
      </w:tr>
    </w:tbl>
    <w:p>
      <w:pPr>
        <w:spacing w:before="280" w:after="100"/>
        <w:pBdr>
          <w:bottom w:val="single" w:sz="6" w:space="6" w:color="0F2A4A"/>
        </w:pBdr>
      </w:pPr>
      <w:r>
        <w:rPr>
          <w:rFonts w:ascii="Calibri" w:hAnsi="Calibri" w:eastAsia="Calibri"/>
          <w:b/>
          <w:color w:val="0F2A4A"/>
          <w:sz w:val="27"/>
        </w:rPr>
        <w:t>1  Scope and applicability</w:t>
      </w:r>
    </w:p>
    <w:p>
      <w:pPr>
        <w:spacing w:after="100" w:line="269" w:lineRule="auto"/>
      </w:pPr>
      <w:r>
        <w:rPr>
          <w:rFonts w:ascii="Calibri" w:hAnsi="Calibri" w:eastAsia="Calibri"/>
          <w:b w:val="0"/>
          <w:i w:val="0"/>
          <w:color w:val="14202E"/>
          <w:sz w:val="21"/>
        </w:rPr>
        <w:t>This Quality Manual defines the management system of a testing and calibration laboratory operating under ISO/IEC 17025:2017. It addresses the general, structural, resource, process and management-system requirements (§4–§8) applicable to the laboratory’s declared scope of accreditation.</w:t>
      </w:r>
    </w:p>
    <w:p>
      <w:pPr>
        <w:spacing w:after="100" w:line="269" w:lineRule="auto"/>
      </w:pPr>
      <w:r>
        <w:rPr>
          <w:rFonts w:ascii="Calibri" w:hAnsi="Calibri" w:eastAsia="Calibri"/>
          <w:b w:val="0"/>
          <w:i/>
          <w:color w:val="5B6B7F"/>
          <w:sz w:val="20"/>
        </w:rPr>
        <w:t>In the full version, this section is instantiated for your laboratory type (testing, calibration or both), your accreditation body and your declared scope of activities.</w:t>
      </w:r>
    </w:p>
    <w:p>
      <w:pPr>
        <w:spacing w:before="280" w:after="100"/>
        <w:pBdr>
          <w:bottom w:val="single" w:sz="6" w:space="6" w:color="0F2A4A"/>
        </w:pBdr>
      </w:pPr>
      <w:r>
        <w:rPr>
          <w:rFonts w:ascii="Calibri" w:hAnsi="Calibri" w:eastAsia="Calibri"/>
          <w:b/>
          <w:color w:val="0F2A4A"/>
          <w:sz w:val="27"/>
        </w:rPr>
        <w:t>2  Terms, definitions and normative references</w:t>
      </w:r>
    </w:p>
    <w:p>
      <w:pPr>
        <w:pStyle w:val="ListBullet"/>
        <w:spacing w:after="60"/>
      </w:pPr>
      <w:r>
        <w:rPr>
          <w:rFonts w:ascii="Calibri" w:hAnsi="Calibri" w:eastAsia="Calibri"/>
          <w:color w:val="14202E"/>
          <w:sz w:val="21"/>
        </w:rPr>
        <w:t>ISO/IEC 17025:2017 — General requirements for the competence of testing and calibration laboratories.</w:t>
      </w:r>
    </w:p>
    <w:p>
      <w:pPr>
        <w:pStyle w:val="ListBullet"/>
        <w:spacing w:after="60"/>
      </w:pPr>
      <w:r>
        <w:rPr>
          <w:rFonts w:ascii="Calibri" w:hAnsi="Calibri" w:eastAsia="Calibri"/>
          <w:color w:val="14202E"/>
          <w:sz w:val="21"/>
        </w:rPr>
        <w:t>ISO/IEC Guide 99 (VIM) — International vocabulary of metrology.</w:t>
      </w:r>
    </w:p>
    <w:p>
      <w:pPr>
        <w:pStyle w:val="ListBullet"/>
        <w:spacing w:after="60"/>
      </w:pPr>
      <w:r>
        <w:rPr>
          <w:rFonts w:ascii="Calibri" w:hAnsi="Calibri" w:eastAsia="Calibri"/>
          <w:color w:val="14202E"/>
          <w:sz w:val="21"/>
        </w:rPr>
        <w:t>ISO 9000:2015 — Quality management systems: fundamentals and vocabulary.</w:t>
      </w:r>
    </w:p>
    <w:p>
      <w:pPr>
        <w:spacing w:before="280" w:after="100"/>
        <w:pBdr>
          <w:bottom w:val="single" w:sz="6" w:space="6" w:color="0F2A4A"/>
        </w:pBdr>
      </w:pPr>
      <w:r>
        <w:rPr>
          <w:rFonts w:ascii="Calibri" w:hAnsi="Calibri" w:eastAsia="Calibri"/>
          <w:b/>
          <w:color w:val="0F2A4A"/>
          <w:sz w:val="27"/>
        </w:rPr>
        <w:t>3  Clause map — how the manual answers §4–§8</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1008"/>
            <w:shd w:val="clear" w:color="auto" w:fill="0F2A4A"/>
          </w:tcPr>
          <w:p>
            <w:pPr>
              <w:spacing w:after="0"/>
            </w:pPr>
            <w:r/>
            <w:r>
              <w:rPr>
                <w:rFonts w:ascii="Calibri" w:hAnsi="Calibri" w:eastAsia="Calibri"/>
                <w:b/>
                <w:color w:val="FFFFFF"/>
                <w:sz w:val="18"/>
              </w:rPr>
              <w:t>Clause</w:t>
            </w:r>
          </w:p>
        </w:tc>
        <w:tc>
          <w:tcPr>
            <w:tcW w:type="dxa" w:w="2448"/>
            <w:shd w:val="clear" w:color="auto" w:fill="0F2A4A"/>
          </w:tcPr>
          <w:p>
            <w:pPr>
              <w:spacing w:after="0"/>
            </w:pPr>
            <w:r/>
            <w:r>
              <w:rPr>
                <w:rFonts w:ascii="Calibri" w:hAnsi="Calibri" w:eastAsia="Calibri"/>
                <w:b/>
                <w:color w:val="FFFFFF"/>
                <w:sz w:val="18"/>
              </w:rPr>
              <w:t>Requirement area</w:t>
            </w:r>
          </w:p>
        </w:tc>
        <w:tc>
          <w:tcPr>
            <w:tcW w:type="dxa" w:w="4320"/>
            <w:shd w:val="clear" w:color="auto" w:fill="0F2A4A"/>
          </w:tcPr>
          <w:p>
            <w:pPr>
              <w:spacing w:after="0"/>
            </w:pPr>
            <w:r/>
            <w:r>
              <w:rPr>
                <w:rFonts w:ascii="Calibri" w:hAnsi="Calibri" w:eastAsia="Calibri"/>
                <w:b/>
                <w:color w:val="FFFFFF"/>
                <w:sz w:val="18"/>
              </w:rPr>
              <w:t>Manual response (sample)</w:t>
            </w:r>
          </w:p>
        </w:tc>
        <w:tc>
          <w:tcPr>
            <w:tcW w:type="dxa" w:w="1296"/>
            <w:shd w:val="clear" w:color="auto" w:fill="0F2A4A"/>
          </w:tcPr>
          <w:p>
            <w:pPr>
              <w:spacing w:after="0"/>
            </w:pPr>
            <w:r/>
            <w:r>
              <w:rPr>
                <w:rFonts w:ascii="Calibri" w:hAnsi="Calibri" w:eastAsia="Calibri"/>
                <w:b/>
                <w:color w:val="FFFFFF"/>
                <w:sz w:val="18"/>
              </w:rPr>
              <w:t>Linked record</w:t>
            </w:r>
          </w:p>
        </w:tc>
      </w:tr>
      <w:tr>
        <w:tc>
          <w:tcPr>
            <w:tcW w:type="dxa" w:w="1008"/>
          </w:tcPr>
          <w:p>
            <w:pPr>
              <w:spacing w:after="0"/>
            </w:pPr>
            <w:r/>
            <w:r>
              <w:rPr>
                <w:rFonts w:ascii="Calibri" w:hAnsi="Calibri" w:eastAsia="Calibri"/>
                <w:color w:val="14202E"/>
                <w:sz w:val="18"/>
              </w:rPr>
              <w:t>§4</w:t>
            </w:r>
          </w:p>
        </w:tc>
        <w:tc>
          <w:tcPr>
            <w:tcW w:type="dxa" w:w="2448"/>
          </w:tcPr>
          <w:p>
            <w:pPr>
              <w:spacing w:after="0"/>
            </w:pPr>
            <w:r/>
            <w:r>
              <w:rPr>
                <w:rFonts w:ascii="Calibri" w:hAnsi="Calibri" w:eastAsia="Calibri"/>
                <w:color w:val="14202E"/>
                <w:sz w:val="18"/>
              </w:rPr>
              <w:t>General requirements</w:t>
            </w:r>
          </w:p>
        </w:tc>
        <w:tc>
          <w:tcPr>
            <w:tcW w:type="dxa" w:w="4320"/>
          </w:tcPr>
          <w:p>
            <w:pPr>
              <w:spacing w:after="0"/>
            </w:pPr>
            <w:r/>
            <w:r>
              <w:rPr>
                <w:rFonts w:ascii="Calibri" w:hAnsi="Calibri" w:eastAsia="Calibri"/>
                <w:color w:val="14202E"/>
                <w:sz w:val="18"/>
              </w:rPr>
              <w:t>Impartiality and confidentiality policies</w:t>
            </w:r>
          </w:p>
        </w:tc>
        <w:tc>
          <w:tcPr>
            <w:tcW w:type="dxa" w:w="1296"/>
          </w:tcPr>
          <w:p>
            <w:pPr>
              <w:spacing w:after="0"/>
            </w:pPr>
            <w:r/>
            <w:r>
              <w:rPr>
                <w:rFonts w:ascii="Calibri" w:hAnsi="Calibri" w:eastAsia="Calibri"/>
                <w:color w:val="14202E"/>
                <w:sz w:val="18"/>
              </w:rPr>
              <w:t>FR-02</w:t>
            </w:r>
          </w:p>
        </w:tc>
      </w:tr>
      <w:tr>
        <w:tc>
          <w:tcPr>
            <w:tcW w:type="dxa" w:w="1008"/>
            <w:shd w:val="clear" w:color="auto" w:fill="F3F7FC"/>
          </w:tcPr>
          <w:p>
            <w:pPr>
              <w:spacing w:after="0"/>
            </w:pPr>
            <w:r/>
            <w:r>
              <w:rPr>
                <w:rFonts w:ascii="Calibri" w:hAnsi="Calibri" w:eastAsia="Calibri"/>
                <w:color w:val="14202E"/>
                <w:sz w:val="18"/>
              </w:rPr>
              <w:t>§5</w:t>
            </w:r>
          </w:p>
        </w:tc>
        <w:tc>
          <w:tcPr>
            <w:tcW w:type="dxa" w:w="2448"/>
            <w:shd w:val="clear" w:color="auto" w:fill="F3F7FC"/>
          </w:tcPr>
          <w:p>
            <w:pPr>
              <w:spacing w:after="0"/>
            </w:pPr>
            <w:r/>
            <w:r>
              <w:rPr>
                <w:rFonts w:ascii="Calibri" w:hAnsi="Calibri" w:eastAsia="Calibri"/>
                <w:color w:val="14202E"/>
                <w:sz w:val="18"/>
              </w:rPr>
              <w:t>Structural requirements</w:t>
            </w:r>
          </w:p>
        </w:tc>
        <w:tc>
          <w:tcPr>
            <w:tcW w:type="dxa" w:w="4320"/>
            <w:shd w:val="clear" w:color="auto" w:fill="F3F7FC"/>
          </w:tcPr>
          <w:p>
            <w:pPr>
              <w:spacing w:after="0"/>
            </w:pPr>
            <w:r/>
            <w:r>
              <w:rPr>
                <w:rFonts w:ascii="Calibri" w:hAnsi="Calibri" w:eastAsia="Calibri"/>
                <w:color w:val="14202E"/>
                <w:sz w:val="18"/>
              </w:rPr>
              <w:t>Legal identity, org chart, responsibility matrix</w:t>
            </w:r>
          </w:p>
        </w:tc>
        <w:tc>
          <w:tcPr>
            <w:tcW w:type="dxa" w:w="1296"/>
            <w:shd w:val="clear" w:color="auto" w:fill="F3F7FC"/>
          </w:tcPr>
          <w:p>
            <w:pPr>
              <w:spacing w:after="0"/>
            </w:pPr>
            <w:r/>
            <w:r>
              <w:rPr>
                <w:rFonts w:ascii="Calibri" w:hAnsi="Calibri" w:eastAsia="Calibri"/>
                <w:color w:val="14202E"/>
                <w:sz w:val="18"/>
              </w:rPr>
              <w:t>FR-04</w:t>
            </w:r>
          </w:p>
        </w:tc>
      </w:tr>
      <w:tr>
        <w:tc>
          <w:tcPr>
            <w:tcW w:type="dxa" w:w="1008"/>
          </w:tcPr>
          <w:p>
            <w:pPr>
              <w:spacing w:after="0"/>
            </w:pPr>
            <w:r/>
            <w:r>
              <w:rPr>
                <w:rFonts w:ascii="Calibri" w:hAnsi="Calibri" w:eastAsia="Calibri"/>
                <w:color w:val="14202E"/>
                <w:sz w:val="18"/>
              </w:rPr>
              <w:t>§6</w:t>
            </w:r>
          </w:p>
        </w:tc>
        <w:tc>
          <w:tcPr>
            <w:tcW w:type="dxa" w:w="2448"/>
          </w:tcPr>
          <w:p>
            <w:pPr>
              <w:spacing w:after="0"/>
            </w:pPr>
            <w:r/>
            <w:r>
              <w:rPr>
                <w:rFonts w:ascii="Calibri" w:hAnsi="Calibri" w:eastAsia="Calibri"/>
                <w:color w:val="14202E"/>
                <w:sz w:val="18"/>
              </w:rPr>
              <w:t>Resource requirements</w:t>
            </w:r>
          </w:p>
        </w:tc>
        <w:tc>
          <w:tcPr>
            <w:tcW w:type="dxa" w:w="4320"/>
          </w:tcPr>
          <w:p>
            <w:pPr>
              <w:spacing w:after="0"/>
            </w:pPr>
            <w:r/>
            <w:r>
              <w:rPr>
                <w:rFonts w:ascii="Calibri" w:hAnsi="Calibri" w:eastAsia="Calibri"/>
                <w:color w:val="14202E"/>
                <w:sz w:val="18"/>
              </w:rPr>
              <w:t>Personnel, facilities, equipment, traceability</w:t>
            </w:r>
          </w:p>
        </w:tc>
        <w:tc>
          <w:tcPr>
            <w:tcW w:type="dxa" w:w="1296"/>
          </w:tcPr>
          <w:p>
            <w:pPr>
              <w:spacing w:after="0"/>
            </w:pPr>
            <w:r/>
            <w:r>
              <w:rPr>
                <w:rFonts w:ascii="Calibri" w:hAnsi="Calibri" w:eastAsia="Calibri"/>
                <w:color w:val="14202E"/>
                <w:sz w:val="18"/>
              </w:rPr>
              <w:t>FR-09</w:t>
            </w:r>
          </w:p>
        </w:tc>
      </w:tr>
      <w:tr>
        <w:tc>
          <w:tcPr>
            <w:tcW w:type="dxa" w:w="1008"/>
            <w:shd w:val="clear" w:color="auto" w:fill="F3F7FC"/>
          </w:tcPr>
          <w:p>
            <w:pPr>
              <w:spacing w:after="0"/>
            </w:pPr>
            <w:r/>
            <w:r>
              <w:rPr>
                <w:rFonts w:ascii="Calibri" w:hAnsi="Calibri" w:eastAsia="Calibri"/>
                <w:color w:val="14202E"/>
                <w:sz w:val="18"/>
              </w:rPr>
              <w:t>§7</w:t>
            </w:r>
          </w:p>
        </w:tc>
        <w:tc>
          <w:tcPr>
            <w:tcW w:type="dxa" w:w="2448"/>
            <w:shd w:val="clear" w:color="auto" w:fill="F3F7FC"/>
          </w:tcPr>
          <w:p>
            <w:pPr>
              <w:spacing w:after="0"/>
            </w:pPr>
            <w:r/>
            <w:r>
              <w:rPr>
                <w:rFonts w:ascii="Calibri" w:hAnsi="Calibri" w:eastAsia="Calibri"/>
                <w:color w:val="14202E"/>
                <w:sz w:val="18"/>
              </w:rPr>
              <w:t>Process requirements</w:t>
            </w:r>
          </w:p>
        </w:tc>
        <w:tc>
          <w:tcPr>
            <w:tcW w:type="dxa" w:w="4320"/>
            <w:shd w:val="clear" w:color="auto" w:fill="F3F7FC"/>
          </w:tcPr>
          <w:p>
            <w:pPr>
              <w:spacing w:after="0"/>
            </w:pPr>
            <w:r/>
            <w:r>
              <w:rPr>
                <w:rFonts w:ascii="Calibri" w:hAnsi="Calibri" w:eastAsia="Calibri"/>
                <w:color w:val="14202E"/>
                <w:sz w:val="18"/>
              </w:rPr>
              <w:t>Request review, methods, sampling, reporting</w:t>
            </w:r>
          </w:p>
        </w:tc>
        <w:tc>
          <w:tcPr>
            <w:tcW w:type="dxa" w:w="1296"/>
            <w:shd w:val="clear" w:color="auto" w:fill="F3F7FC"/>
          </w:tcPr>
          <w:p>
            <w:pPr>
              <w:spacing w:after="0"/>
            </w:pPr>
            <w:r/>
            <w:r>
              <w:rPr>
                <w:rFonts w:ascii="Calibri" w:hAnsi="Calibri" w:eastAsia="Calibri"/>
                <w:color w:val="14202E"/>
                <w:sz w:val="18"/>
              </w:rPr>
              <w:t>FR-13</w:t>
            </w:r>
          </w:p>
        </w:tc>
      </w:tr>
      <w:tr>
        <w:tc>
          <w:tcPr>
            <w:tcW w:type="dxa" w:w="1008"/>
          </w:tcPr>
          <w:p>
            <w:pPr>
              <w:spacing w:after="0"/>
            </w:pPr>
            <w:r/>
            <w:r>
              <w:rPr>
                <w:rFonts w:ascii="Calibri" w:hAnsi="Calibri" w:eastAsia="Calibri"/>
                <w:color w:val="14202E"/>
                <w:sz w:val="18"/>
              </w:rPr>
              <w:t>§8</w:t>
            </w:r>
          </w:p>
        </w:tc>
        <w:tc>
          <w:tcPr>
            <w:tcW w:type="dxa" w:w="2448"/>
          </w:tcPr>
          <w:p>
            <w:pPr>
              <w:spacing w:after="0"/>
            </w:pPr>
            <w:r/>
            <w:r>
              <w:rPr>
                <w:rFonts w:ascii="Calibri" w:hAnsi="Calibri" w:eastAsia="Calibri"/>
                <w:color w:val="14202E"/>
                <w:sz w:val="18"/>
              </w:rPr>
              <w:t>Management system</w:t>
            </w:r>
          </w:p>
        </w:tc>
        <w:tc>
          <w:tcPr>
            <w:tcW w:type="dxa" w:w="4320"/>
          </w:tcPr>
          <w:p>
            <w:pPr>
              <w:spacing w:after="0"/>
            </w:pPr>
            <w:r/>
            <w:r>
              <w:rPr>
                <w:rFonts w:ascii="Calibri" w:hAnsi="Calibri" w:eastAsia="Calibri"/>
                <w:color w:val="14202E"/>
                <w:sz w:val="18"/>
              </w:rPr>
              <w:t>Documents, risks, audits, reviews, corrective action</w:t>
            </w:r>
          </w:p>
        </w:tc>
        <w:tc>
          <w:tcPr>
            <w:tcW w:type="dxa" w:w="1296"/>
          </w:tcPr>
          <w:p>
            <w:pPr>
              <w:spacing w:after="0"/>
            </w:pPr>
            <w:r/>
            <w:r>
              <w:rPr>
                <w:rFonts w:ascii="Calibri" w:hAnsi="Calibri" w:eastAsia="Calibri"/>
                <w:color w:val="14202E"/>
                <w:sz w:val="18"/>
              </w:rPr>
              <w:t>FR-21</w:t>
            </w:r>
          </w:p>
        </w:tc>
      </w:tr>
    </w:tbl>
    <w:p>
      <w:pPr>
        <w:spacing w:before="280" w:after="100"/>
        <w:pBdr>
          <w:bottom w:val="single" w:sz="6" w:space="6" w:color="0F2A4A"/>
        </w:pBdr>
      </w:pPr>
      <w:r>
        <w:rPr>
          <w:rFonts w:ascii="Calibri" w:hAnsi="Calibri" w:eastAsia="Calibri"/>
          <w:b/>
          <w:color w:val="0F2A4A"/>
          <w:sz w:val="27"/>
        </w:rPr>
        <w:t>4  Selected clause detail (excerpt)</w:t>
      </w:r>
    </w:p>
    <w:p>
      <w:pPr>
        <w:spacing w:before="180" w:after="60"/>
      </w:pPr>
      <w:r>
        <w:rPr>
          <w:rFonts w:ascii="Calibri" w:hAnsi="Calibri" w:eastAsia="Calibri"/>
          <w:b/>
          <w:color w:val="1F6FEB"/>
          <w:sz w:val="22"/>
        </w:rPr>
        <w:t>4.1  Impartiality (§4.1)</w:t>
      </w:r>
    </w:p>
    <w:p>
      <w:pPr>
        <w:spacing w:after="100" w:line="269" w:lineRule="auto"/>
      </w:pPr>
      <w:r>
        <w:rPr>
          <w:rFonts w:ascii="Calibri" w:hAnsi="Calibri" w:eastAsia="Calibri"/>
          <w:b w:val="0"/>
          <w:i w:val="0"/>
          <w:color w:val="14202E"/>
          <w:sz w:val="21"/>
        </w:rPr>
        <w:t>The laboratory conducts activities impartially and structures its organisation so that impartiality is safeguarded. Top management demonstrates commitment to impartiality and reviews risks to it at planned intervals.</w:t>
      </w:r>
    </w:p>
    <w:p>
      <w:pPr>
        <w:spacing w:before="180" w:after="60"/>
      </w:pPr>
      <w:r>
        <w:rPr>
          <w:rFonts w:ascii="Calibri" w:hAnsi="Calibri" w:eastAsia="Calibri"/>
          <w:b/>
          <w:color w:val="1F6FEB"/>
          <w:sz w:val="22"/>
        </w:rPr>
        <w:t>4.2  Review of requests, tenders and contracts (§7.1)</w:t>
      </w:r>
    </w:p>
    <w:p>
      <w:pPr>
        <w:spacing w:after="100" w:line="269" w:lineRule="auto"/>
      </w:pPr>
      <w:r>
        <w:rPr>
          <w:rFonts w:ascii="Calibri" w:hAnsi="Calibri" w:eastAsia="Calibri"/>
          <w:b w:val="0"/>
          <w:i w:val="0"/>
          <w:color w:val="14202E"/>
          <w:sz w:val="21"/>
        </w:rPr>
        <w:t>The laboratory documents its review of requests and contracts to confirm that requirements are adequately defined, that it has the capability and resources, and that the appropriate method is selected and capable of meeting customer requirements.</w:t>
      </w:r>
    </w:p>
    <w:p>
      <w:pPr>
        <w:spacing w:before="180" w:after="60"/>
      </w:pPr>
      <w:r>
        <w:rPr>
          <w:rFonts w:ascii="Calibri" w:hAnsi="Calibri" w:eastAsia="Calibri"/>
          <w:b/>
          <w:color w:val="1F6FEB"/>
          <w:sz w:val="22"/>
        </w:rPr>
        <w:t>4.3  Actions to address risks and opportunities (§8.5)</w:t>
      </w:r>
    </w:p>
    <w:p>
      <w:pPr>
        <w:spacing w:after="100" w:line="269" w:lineRule="auto"/>
      </w:pPr>
      <w:r>
        <w:rPr>
          <w:rFonts w:ascii="Calibri" w:hAnsi="Calibri" w:eastAsia="Calibri"/>
          <w:b w:val="0"/>
          <w:i w:val="0"/>
          <w:color w:val="14202E"/>
          <w:sz w:val="21"/>
        </w:rPr>
        <w:t>The laboratory identifies, documents and manages risks and opportunities associated with its activities, and evaluates the effectiveness of the actions taken.</w:t>
      </w:r>
    </w:p>
    <w:p>
      <w:pPr>
        <w:spacing w:before="280" w:after="100"/>
        <w:pBdr>
          <w:bottom w:val="single" w:sz="6" w:space="6" w:color="0F2A4A"/>
        </w:pBdr>
      </w:pPr>
      <w:r>
        <w:rPr>
          <w:rFonts w:ascii="Calibri" w:hAnsi="Calibri" w:eastAsia="Calibri"/>
          <w:b/>
          <w:color w:val="0F2A4A"/>
          <w:sz w:val="27"/>
        </w:rPr>
        <w:t>5  What the full deliverable adds</w:t>
      </w:r>
    </w:p>
    <w:p>
      <w:pPr>
        <w:pStyle w:val="ListBullet"/>
        <w:spacing w:after="60"/>
      </w:pPr>
      <w:r>
        <w:rPr>
          <w:rFonts w:ascii="Calibri" w:hAnsi="Calibri" w:eastAsia="Calibri"/>
          <w:color w:val="5B6B7F"/>
          <w:sz w:val="21"/>
        </w:rPr>
        <w:t xml:space="preserve">Every §4–§8 clause expanded — </w:t>
      </w:r>
      <w:r>
        <w:rPr>
          <w:rFonts w:ascii="Calibri" w:hAnsi="Calibri" w:eastAsia="Calibri"/>
          <w:b/>
          <w:color w:val="0F2A4A"/>
          <w:sz w:val="21"/>
        </w:rPr>
        <w:t>field-ready text for testing and calibration, not a skeleton.</w:t>
      </w:r>
    </w:p>
    <w:p>
      <w:pPr>
        <w:pStyle w:val="ListBullet"/>
        <w:spacing w:after="60"/>
      </w:pPr>
      <w:r>
        <w:rPr>
          <w:rFonts w:ascii="Calibri" w:hAnsi="Calibri" w:eastAsia="Calibri"/>
          <w:color w:val="5B6B7F"/>
          <w:sz w:val="21"/>
        </w:rPr>
        <w:t xml:space="preserve">Your accreditation body’s mandatory clauses — </w:t>
      </w:r>
      <w:r>
        <w:rPr>
          <w:rFonts w:ascii="Calibri" w:hAnsi="Calibri" w:eastAsia="Calibri"/>
          <w:b/>
          <w:color w:val="0F2A4A"/>
          <w:sz w:val="21"/>
        </w:rPr>
        <w:t>and prohibited terms woven into each section.</w:t>
      </w:r>
    </w:p>
    <w:p>
      <w:pPr>
        <w:pStyle w:val="ListBullet"/>
        <w:spacing w:after="60"/>
      </w:pPr>
      <w:r>
        <w:rPr>
          <w:rFonts w:ascii="Calibri" w:hAnsi="Calibri" w:eastAsia="Calibri"/>
          <w:color w:val="5B6B7F"/>
          <w:sz w:val="21"/>
        </w:rPr>
        <w:t xml:space="preserve">Your inputs used directly — </w:t>
      </w:r>
      <w:r>
        <w:rPr>
          <w:rFonts w:ascii="Calibri" w:hAnsi="Calibri" w:eastAsia="Calibri"/>
          <w:b/>
          <w:color w:val="0F2A4A"/>
          <w:sz w:val="21"/>
        </w:rPr>
        <w:t>country, body, industry, stage and any document you upload.</w:t>
      </w:r>
    </w:p>
    <w:p>
      <w:pPr>
        <w:pStyle w:val="ListBullet"/>
        <w:spacing w:after="60"/>
      </w:pPr>
      <w:r>
        <w:rPr>
          <w:rFonts w:ascii="Calibri" w:hAnsi="Calibri" w:eastAsia="Calibri"/>
          <w:color w:val="5B6B7F"/>
          <w:sz w:val="21"/>
        </w:rPr>
        <w:t xml:space="preserve">Editable, watermark-free Word (.docx) — </w:t>
      </w:r>
      <w:r>
        <w:rPr>
          <w:rFonts w:ascii="Calibri" w:hAnsi="Calibri" w:eastAsia="Calibri"/>
          <w:b/>
          <w:color w:val="0F2A4A"/>
          <w:sz w:val="21"/>
        </w:rPr>
        <w:t>ready for your document-control system.</w:t>
      </w:r>
    </w:p>
    <w:p>
      <w:pPr>
        <w:spacing w:after="100" w:line="269" w:lineRule="auto"/>
      </w:pPr>
      <w:r>
        <w:rPr>
          <w:rFonts w:ascii="Calibri" w:hAnsi="Calibri" w:eastAsia="Calibri"/>
          <w:b w:val="0"/>
          <w:i/>
          <w:color w:val="5B6B7F"/>
          <w:sz w:val="20"/>
        </w:rPr>
        <w:t>Unlock the full, tailored and watermark-free deliverable at labkitpro.com.</w:t>
      </w:r>
    </w:p>
    <w:sectPr w:rsidR="00FC693F" w:rsidRPr="0006063C" w:rsidSect="00034616">
      <w:headerReference w:type="default" r:id="rId9"/>
      <w:footerReference w:type="default" r:id="rId10"/>
      <w:pgSz w:w="12240" w:h="15840"/>
      <w:pgMar w:top="1224"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color w:val="94A3B8"/>
        <w:sz w:val="17"/>
      </w:rPr>
      <w:t xml:space="preserve">LabKitPro  ·  ISO/IEC 17025:2017 toolkit  ·  labkitpro.com        Page </w:t>
    </w:r>
    <w:r>
      <w:rPr>
        <w:rFonts w:ascii="Calibri" w:hAnsi="Calibri" w:eastAsia="Calibri"/>
        <w:color w:val="94A3B8"/>
        <w:sz w:val="17"/>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eastAsia="Calibri"/>
        <w:b/>
        <w:color w:val="94A3B8"/>
        <w:sz w:val="16"/>
      </w:rPr>
      <w:t>DEMO SAMPLE  ·  NOT A FULL DELIVERABLE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