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12" w:space="6" w:color="1F6FEB"/>
        </w:pBdr>
      </w:pPr>
      <w:r>
        <w:rPr>
          <w:rFonts w:ascii="Calibri" w:hAnsi="Calibri" w:eastAsia="Calibri"/>
          <w:b/>
          <w:color w:val="1F6FEB"/>
          <w:sz w:val="22"/>
        </w:rPr>
        <w:t>LABKITPRO</w:t>
      </w:r>
      <w:r>
        <w:rPr>
          <w:rFonts w:ascii="Calibri" w:hAnsi="Calibri" w:eastAsia="Calibri"/>
          <w:color w:val="5B6B7F"/>
          <w:sz w:val="18"/>
        </w:rPr>
        <w:t xml:space="preserve">   |   ISO/IEC 17025:2017 toolkit   |   Uncertainty Evaluation</w:t>
      </w:r>
    </w:p>
    <w:p>
      <w:pPr>
        <w:spacing w:before="200" w:after="40"/>
      </w:pPr>
      <w:r>
        <w:rPr>
          <w:rFonts w:ascii="Calibri" w:hAnsi="Calibri" w:eastAsia="Calibri"/>
          <w:b/>
          <w:color w:val="0F2A4A"/>
          <w:sz w:val="38"/>
        </w:rPr>
        <w:t>Measurement Uncertainty Budget</w:t>
      </w:r>
    </w:p>
    <w:p>
      <w:pPr>
        <w:spacing w:after="80"/>
      </w:pPr>
      <w:r>
        <w:rPr>
          <w:rFonts w:ascii="Calibri" w:hAnsi="Calibri" w:eastAsia="Calibri"/>
          <w:i/>
          <w:color w:val="5B6B7F"/>
          <w:sz w:val="20"/>
        </w:rPr>
        <w:t>GUM (JCGM 100:2008) · generic worked example · not your data</w:t>
      </w:r>
    </w:p>
    <w:p/>
    <w:p>
      <w:pPr w:spacing="160">
        <w:spacing w:before="40" w:after="240"/>
        <w:shd w:val="clear" w:color="auto" w:fill="FFF7ED"/>
        <w:pBdr>
          <w:left w:val="single" w:sz="30" w:space="6" w:color="F59E0B"/>
        </w:pBdr>
      </w:pPr>
      <w:r>
        <w:rPr>
          <w:rFonts w:ascii="Calibri" w:hAnsi="Calibri" w:eastAsia="Calibri"/>
          <w:b/>
          <w:color w:val="B45309"/>
          <w:sz w:val="21"/>
        </w:rPr>
        <w:t>DEMO SAMPLE — what this file is</w:t>
        <w:br/>
      </w:r>
      <w:r>
        <w:rPr>
          <w:rFonts w:ascii="Calibri" w:hAnsi="Calibri" w:eastAsia="Calibri"/>
          <w:color w:val="B45309"/>
          <w:sz w:val="19"/>
        </w:rPr>
        <w:t>A generic sample budget to illustrate structure and depth. The paid full version computes from YOUR components, applies your context, and exports an editable Word report.</w:t>
      </w:r>
    </w:p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1  Measurement model</w:t>
      </w:r>
    </w:p>
    <w:p>
      <w:pPr>
        <w:spacing w:after="100" w:line="269" w:lineRule="auto"/>
      </w:pPr>
      <w:r>
        <w:rPr>
          <w:rFonts w:ascii="Calibri" w:hAnsi="Calibri" w:eastAsia="Calibri"/>
          <w:b w:val="0"/>
          <w:i w:val="0"/>
          <w:color w:val="14202E"/>
          <w:sz w:val="21"/>
        </w:rPr>
        <w:t>Y = Σ cᵢ · xᵢ   (default linear model; the full version accepts user-defined models.)</w:t>
      </w:r>
    </w:p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2  Uncertainty components (sample)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448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864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84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1152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uᵢ</w:t>
            </w:r>
          </w:p>
        </w:tc>
        <w:tc>
          <w:tcPr>
            <w:tcW w:type="dxa" w:w="864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cᵢ</w:t>
            </w:r>
          </w:p>
        </w:tc>
        <w:tc>
          <w:tcPr>
            <w:tcW w:type="dxa" w:w="864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νᵢ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Repeatability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A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normal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0.0200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9</w:t>
            </w:r>
          </w:p>
        </w:tc>
      </w:tr>
      <w:tr>
        <w:tc>
          <w:tcPr>
            <w:tcW w:type="dxa" w:w="244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Reference standard</w:t>
            </w:r>
          </w:p>
        </w:tc>
        <w:tc>
          <w:tcPr>
            <w:tcW w:type="dxa" w:w="86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B</w:t>
            </w:r>
          </w:p>
        </w:tc>
        <w:tc>
          <w:tcPr>
            <w:tcW w:type="dxa" w:w="158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normal</w:t>
            </w:r>
          </w:p>
        </w:tc>
        <w:tc>
          <w:tcPr>
            <w:tcW w:type="dxa" w:w="115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0.0150</w:t>
            </w:r>
          </w:p>
        </w:tc>
        <w:tc>
          <w:tcPr>
            <w:tcW w:type="dxa" w:w="86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1</w:t>
            </w:r>
          </w:p>
        </w:tc>
        <w:tc>
          <w:tcPr>
            <w:tcW w:type="dxa" w:w="86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100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Calibration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B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uniform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0.0058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50</w:t>
            </w:r>
          </w:p>
        </w:tc>
      </w:tr>
      <w:tr>
        <w:tc>
          <w:tcPr>
            <w:tcW w:type="dxa" w:w="244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Resolution</w:t>
            </w:r>
          </w:p>
        </w:tc>
        <w:tc>
          <w:tcPr>
            <w:tcW w:type="dxa" w:w="86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B</w:t>
            </w:r>
          </w:p>
        </w:tc>
        <w:tc>
          <w:tcPr>
            <w:tcW w:type="dxa" w:w="158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uniform</w:t>
            </w:r>
          </w:p>
        </w:tc>
        <w:tc>
          <w:tcPr>
            <w:tcW w:type="dxa" w:w="115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0.0029</w:t>
            </w:r>
          </w:p>
        </w:tc>
        <w:tc>
          <w:tcPr>
            <w:tcW w:type="dxa" w:w="86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1</w:t>
            </w:r>
          </w:p>
        </w:tc>
        <w:tc>
          <w:tcPr>
            <w:tcW w:type="dxa" w:w="86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50</w:t>
            </w:r>
          </w:p>
        </w:tc>
      </w:tr>
    </w:tbl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3  Combined and expanded result (sample)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728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56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u_c (combined)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0.0250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Root-sum-square</w:t>
            </w:r>
          </w:p>
        </w:tc>
      </w:tr>
      <w:tr>
        <w:tc>
          <w:tcPr>
            <w:tcW w:type="dxa" w:w="259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ν_eff (effective dof)</w:t>
            </w:r>
          </w:p>
        </w:tc>
        <w:tc>
          <w:tcPr>
            <w:tcW w:type="dxa" w:w="172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≈ 38</w:t>
            </w:r>
          </w:p>
        </w:tc>
        <w:tc>
          <w:tcPr>
            <w:tcW w:type="dxa" w:w="345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Welch–Satterthwaite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k (95% coverage)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2.03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Student-t</w:t>
            </w:r>
          </w:p>
        </w:tc>
      </w:tr>
      <w:tr>
        <w:tc>
          <w:tcPr>
            <w:tcW w:type="dxa" w:w="259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U = k · u_c</w:t>
            </w:r>
          </w:p>
        </w:tc>
        <w:tc>
          <w:tcPr>
            <w:tcW w:type="dxa" w:w="172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0.0508</w:t>
            </w:r>
          </w:p>
        </w:tc>
        <w:tc>
          <w:tcPr>
            <w:tcW w:type="dxa" w:w="345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≈ ±5.1% of reading</w:t>
            </w:r>
          </w:p>
        </w:tc>
      </w:tr>
    </w:tbl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4  Contribution analysis (sample)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Repeatability — </w:t>
      </w:r>
      <w:r>
        <w:rPr>
          <w:rFonts w:ascii="Calibri" w:hAnsi="Calibri" w:eastAsia="Calibri"/>
          <w:b/>
          <w:color w:val="0F2A4A"/>
          <w:sz w:val="21"/>
        </w:rPr>
        <w:t>largest single contributor; consider replicate measurements.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Reference standard — </w:t>
      </w:r>
      <w:r>
        <w:rPr>
          <w:rFonts w:ascii="Calibri" w:hAnsi="Calibri" w:eastAsia="Calibri"/>
          <w:b/>
          <w:color w:val="0F2A4A"/>
          <w:sz w:val="21"/>
        </w:rPr>
        <w:t>second contributor; review the calibration certificate.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Calibration and resolution — </w:t>
      </w:r>
      <w:r>
        <w:rPr>
          <w:rFonts w:ascii="Calibri" w:hAnsi="Calibri" w:eastAsia="Calibri"/>
          <w:b/>
          <w:color w:val="0F2A4A"/>
          <w:sz w:val="21"/>
        </w:rPr>
        <w:t>minor contributors at this magnitude.</w:t>
      </w:r>
    </w:p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5  What the full deliverable adds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Computed from YOUR components — </w:t>
      </w:r>
      <w:r>
        <w:rPr>
          <w:rFonts w:ascii="Calibri" w:hAnsi="Calibri" w:eastAsia="Calibri"/>
          <w:b/>
          <w:color w:val="0F2A4A"/>
          <w:sz w:val="21"/>
        </w:rPr>
        <w:t>any number, any distribution.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Welch–Satterthwaite ν_eff and t-based k — </w:t>
      </w:r>
      <w:r>
        <w:rPr>
          <w:rFonts w:ascii="Calibri" w:hAnsi="Calibri" w:eastAsia="Calibri"/>
          <w:b/>
          <w:color w:val="0F2A4A"/>
          <w:sz w:val="21"/>
        </w:rPr>
        <w:t>or Monte-Carlo (JCGM 101) on request.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Context-linked report — </w:t>
      </w:r>
      <w:r>
        <w:rPr>
          <w:rFonts w:ascii="Calibri" w:hAnsi="Calibri" w:eastAsia="Calibri"/>
          <w:b/>
          <w:color w:val="0F2A4A"/>
          <w:sz w:val="21"/>
        </w:rPr>
        <w:t>aligned to your body, industry and assessment stage.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Exportable, watermark-free Word (.docx) — </w:t>
      </w:r>
      <w:r>
        <w:rPr>
          <w:rFonts w:ascii="Calibri" w:hAnsi="Calibri" w:eastAsia="Calibri"/>
          <w:b/>
          <w:color w:val="0F2A4A"/>
          <w:sz w:val="21"/>
        </w:rPr>
        <w:t>ready to attach to your scope.</w:t>
      </w:r>
    </w:p>
    <w:p>
      <w:pPr>
        <w:spacing w:after="100" w:line="269" w:lineRule="auto"/>
      </w:pPr>
      <w:r>
        <w:rPr>
          <w:rFonts w:ascii="Calibri" w:hAnsi="Calibri" w:eastAsia="Calibri"/>
          <w:b w:val="0"/>
          <w:i/>
          <w:color w:val="5B6B7F"/>
          <w:sz w:val="20"/>
        </w:rPr>
        <w:t>Free users see the watermarked preview only. Unlock the context-linked report and export at labkitpro.com.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94A3B8"/>
        <w:sz w:val="17"/>
      </w:rPr>
      <w:t xml:space="preserve">LabKitPro  ·  ISO/IEC 17025:2017 toolkit  ·  labkitpro.com        Page </w:t>
    </w:r>
    <w:r>
      <w:rPr>
        <w:rFonts w:ascii="Calibri" w:hAnsi="Calibri" w:eastAsia="Calibri"/>
        <w:color w:val="94A3B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94A3B8"/>
        <w:sz w:val="16"/>
      </w:rPr>
      <w:t>DEMO SAMPLE  ·  NOT A FULL DELIVERABLE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