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IA-05 不符合项分布与趋势分析表 | LabKitPro 内审资料包 :root{--ink:#10202e;--ink2:#38505f;--muted:#5d7180;--bg:#f6f8fa;--card:#fff;--line:#dde5eb;--brand:#0f2f4a;--accent:#0e8f7d;--accent2:#1b6ea8}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@media(max-width:760px){h1{font-size:22px}table{font-size:12px;min-width:560px}th,td{padding:5px}.wrap{padding:0 14px 60px}} LabKitPro · D 级记录表单（FR）· 内审分析 不符合项分布与趋势分析表</w:t>
      </w:r>
    </w:p>
    <w:p>
      <w:pPr>
        <w:pStyle w:val="Heading1"/>
      </w:pPr>
    </w:p>
    <w:p>
      <w:r>
        <w:t>Nonconformity Distribution &amp; Trend Analysis —— 把一次内审的发现变成体系视角的洞察：哪里是薄弱条款、哪些问题在重复发生、明年方案要向哪里加码。 文件编号 IA-05 版本 V1.0 支撑 FR-25 §4 / 管理评审输入 1 本年度内审不符合项按条款分布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标准章节</w:t>
            </w:r>
          </w:p>
        </w:tc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重大（项）</w:t>
            </w:r>
          </w:p>
        </w:tc>
        <w:tc>
          <w:tcPr>
            <w:tcW w:type="dxa" w:w="0"/>
          </w:tcPr>
          <w:p>
            <w:r>
              <w:t>一般（项）</w:t>
            </w:r>
          </w:p>
        </w:tc>
        <w:tc>
          <w:tcPr>
            <w:tcW w:type="dxa" w:w="0"/>
          </w:tcPr>
          <w:p>
            <w:r>
              <w:t>观察（项）</w:t>
            </w:r>
          </w:p>
        </w:tc>
        <w:tc>
          <w:tcPr>
            <w:tcW w:type="dxa" w:w="0"/>
          </w:tcPr>
          <w:p>
            <w:r>
              <w:t>涉及部门</w:t>
            </w:r>
          </w:p>
        </w:tc>
      </w:tr>
      <w:tr>
        <w:tc>
          <w:tcPr>
            <w:tcW w:type="dxa" w:w="0"/>
          </w:tcPr>
          <w:p>
            <w:r>
              <w:t>通用要求</w:t>
            </w:r>
          </w:p>
        </w:tc>
        <w:tc>
          <w:tcPr>
            <w:tcW w:type="dxa" w:w="0"/>
          </w:tcPr>
          <w:p>
            <w:r>
              <w:t>§4.1 / §4.2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结构要求</w:t>
            </w:r>
          </w:p>
        </w:tc>
        <w:tc>
          <w:tcPr>
            <w:tcW w:type="dxa" w:w="0"/>
          </w:tcPr>
          <w:p>
            <w:r>
              <w:t>§5.1–§5.7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资源要求</w:t>
            </w:r>
          </w:p>
        </w:tc>
        <w:tc>
          <w:tcPr>
            <w:tcW w:type="dxa" w:w="0"/>
          </w:tcPr>
          <w:p>
            <w:r>
              <w:t>§6.1–§6.6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过程要求</w:t>
            </w:r>
          </w:p>
        </w:tc>
        <w:tc>
          <w:tcPr>
            <w:tcW w:type="dxa" w:w="0"/>
          </w:tcPr>
          <w:p>
            <w:r>
              <w:t>§7.1–§7.11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管理要求</w:t>
            </w:r>
          </w:p>
        </w:tc>
        <w:tc>
          <w:tcPr>
            <w:tcW w:type="dxa" w:w="0"/>
          </w:tcPr>
          <w:p>
            <w:r>
              <w:t>§8.1–§8.9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—</w:t>
            </w:r>
          </w:p>
        </w:tc>
      </w:tr>
    </w:tbl>
    <w:p>
      <w:r>
        <w:t xml:space="preserve"> </w:t>
      </w:r>
    </w:p>
    <w:p>
      <w:r>
        <w:t xml:space="preserve"> 2 高频条款 TOP5（填写明细）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条款</w:t>
            </w:r>
          </w:p>
        </w:tc>
        <w:tc>
          <w:tcPr>
            <w:tcW w:type="dxa" w:w="0"/>
          </w:tcPr>
          <w:p>
            <w:r>
              <w:t>问题主题</w:t>
            </w:r>
          </w:p>
        </w:tc>
        <w:tc>
          <w:tcPr>
            <w:tcW w:type="dxa" w:w="0"/>
          </w:tcPr>
          <w:p>
            <w:r>
              <w:t>出现次数</w:t>
            </w:r>
          </w:p>
        </w:tc>
        <w:tc>
          <w:tcPr>
            <w:tcW w:type="dxa" w:w="0"/>
          </w:tcPr>
          <w:p>
            <w:r>
              <w:t>共性原因初判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3 年度趋势对比（本年 vs 上年）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统计维度</w:t>
            </w:r>
          </w:p>
        </w:tc>
        <w:tc>
          <w:tcPr>
            <w:tcW w:type="dxa" w:w="0"/>
          </w:tcPr>
          <w:p>
            <w:r>
              <w:t>上年度</w:t>
            </w:r>
          </w:p>
        </w:tc>
        <w:tc>
          <w:tcPr>
            <w:tcW w:type="dxa" w:w="0"/>
          </w:tcPr>
          <w:p>
            <w:r>
              <w:t>本年度</w:t>
            </w:r>
          </w:p>
        </w:tc>
        <w:tc>
          <w:tcPr>
            <w:tcW w:type="dxa" w:w="0"/>
          </w:tcPr>
          <w:p>
            <w:r>
              <w:t>趋势判断与解读</w:t>
            </w:r>
          </w:p>
        </w:tc>
      </w:tr>
      <w:tr>
        <w:tc>
          <w:tcPr>
            <w:tcW w:type="dxa" w:w="0"/>
          </w:tcPr>
          <w:p>
            <w:r>
              <w:t>不符合项总数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其中：重大不符合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不符合项闭环率（%）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平均闭环天数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重复出现的不符合（与上年同条款）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4 与外部发现的联动核查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外部发现来源</w:t>
            </w:r>
          </w:p>
        </w:tc>
        <w:tc>
          <w:tcPr>
            <w:tcW w:type="dxa" w:w="0"/>
          </w:tcPr>
          <w:p>
            <w:r>
              <w:t>数量</w:t>
            </w:r>
          </w:p>
        </w:tc>
        <w:tc>
          <w:tcPr>
            <w:tcW w:type="dxa" w:w="0"/>
          </w:tcPr>
          <w:p>
            <w:r>
              <w:t>本年内审是否跟踪验证整改有效性（对应 FR-24/IA-06 编号）</w:t>
            </w:r>
          </w:p>
        </w:tc>
      </w:tr>
      <w:tr>
        <w:tc>
          <w:tcPr>
            <w:tcW w:type="dxa" w:w="0"/>
          </w:tcPr>
          <w:p>
            <w:r>
              <w:t>认可机构评审（评审编号：</w:t>
              <w:t>[ ]</w:t>
              <w:t>）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客户二方审核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监管检查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5 分析结论（供审核报告与管理评审引用）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a) 体系薄弱环节（条款级）</w:t>
            </w:r>
          </w:p>
        </w:tc>
      </w:tr>
      <w:tr>
        <w:tc>
          <w:tcPr>
            <w:tcW w:type="dxa" w:w="0"/>
          </w:tcPr>
          <w:p>
            <w:r>
              <w:t>[填写，示例：§7.5 技术记录为本年最高频条款（5 项，占 31%），共性原因为记录模板信息不全 + 夜班时段监督缺位]</w:t>
            </w:r>
          </w:p>
        </w:tc>
      </w:tr>
      <w:tr>
        <w:tc>
          <w:tcPr>
            <w:tcW w:type="dxa" w:w="0"/>
          </w:tcPr>
          <w:p>
            <w:r>
              <w:t>b) 重复性问题与根因线索</w:t>
            </w:r>
          </w:p>
        </w:tc>
      </w:tr>
      <w:tr>
        <w:tc>
          <w:tcPr>
            <w:tcW w:type="dxa" w:w="0"/>
          </w:tcPr>
          <w:p>
            <w:r>
              <w:t>[填写，示例：上年度 §8.3.3 现场作废文件问题整改后本年复发 → 提示整改停留在换文件层面，未解决发放回收机制]</w:t>
            </w:r>
          </w:p>
        </w:tc>
      </w:tr>
      <w:tr>
        <w:tc>
          <w:tcPr>
            <w:tcW w:type="dxa" w:w="0"/>
          </w:tcPr>
          <w:p>
            <w:r>
              <w:t>c) 对下年度审核方案的建议（输入 IA-01）</w:t>
            </w:r>
          </w:p>
        </w:tc>
      </w:tr>
      <w:tr>
        <w:tc>
          <w:tcPr>
            <w:tcW w:type="dxa" w:w="0"/>
          </w:tcPr>
          <w:p>
            <w:r>
              <w:t>[填写，示例：建议 §7.5/§7.8 升级为每半年一次；第 1 批次增加夜班时段定向抽样]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使用要求：</w:t>
      </w:r>
      <w:r>
        <w:t>本表由质量负责人在每次审核后随 FR-25 一并完成；全年数据 11 月 30 日前汇总，作为管理评审输入（§8.9.2 e 项「近期内部审核的结果」）。趋势恶化（总数或重大项上升、闭环率下降）须在管理评审中专项说明。</w:t>
        <w:t xml:space="preserve"> </w:t>
        <w:t>IA-05 不符合项分布与趋势分析表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