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IA-06 纠正措施跟踪验证表 | LabKitPro 内审资料包 :root{--ink:#10202e;--ink2:#38505f;--muted:#5d7180;--bg:#f6f8fa;--card:#fff;--line:#dde5eb;--brand:#0f2f4a;--accent:#0e8f7d;--accent2:#1b6ea8;--warn:#a35b1a} *{box-sizing:border-box;margin:0;padding:0} body{font-family:"Noto Sans SC","PingFang SC","Microsoft YaHei",-apple-system,sans-serif;background:var(--bg);color:var(--ink);line-height:1.8;font-size:15px}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table{width:100%;border-collapse:collapse;margin:10px 0 6px;font-size:13px;table-layout:fixed} th{background:#eef3f7;color:var(--ink2);font-weight:700;text-align:left;padding:8px;border:1px solid var(--line)} td{padding:8px;border:1px solid var(--line);vertical-align:top} .fill tbody td{background:#fff} .note{background:#fff8ec;border:1px solid #f0d9b8;border-radius:10px;padding:12px 16px;font-size:13px;color:#6b5320;margin:14px 0} .note b{color:#a35b1a} .tip{background:#e7f4f1;border:1px solid #bfe3da;border-radius:10px;padding:12px 16px;font-size:13px;color:#1d5a50;margin:14px 0} .foot{margin-top:48px;padding-top:18px;border-top:1px solid var(--line);color:var(--muted);font-size:12.5px;text-align:center} @media(max-width:760px){h1{font-size:22px}table{font-size:12px;min-width:560px}th,td{padding:5px}.wrap{padding:0 14px 60px}} LabKitPro · D 级记录表单（FR）· 内审闭环 纠正措施跟踪验证表</w:t>
      </w:r>
    </w:p>
    <w:p>
      <w:pPr>
        <w:pStyle w:val="Heading1"/>
      </w:pPr>
    </w:p>
    <w:p>
      <w:r>
        <w:t>Corrective Action Tracking &amp; Verification Log —— 全年一张台账：每一张 FR-24 从开具到验证关闭的全生命周期状态、时限预警与升级处置，杜绝「报告归档后无人跟踪」。 文件编号 IA-06 版本 V1.0 支撑 LP-02 §5.8 · §8.7 1 跟踪台账（全年滚动，每张 FR-24 一行）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0"/>
          </w:tcPr>
          <w:p>
            <w:r>
              <w:t>FR-24 编号</w:t>
            </w:r>
          </w:p>
        </w:tc>
        <w:tc>
          <w:tcPr>
            <w:tcW w:type="dxa" w:w="0"/>
          </w:tcPr>
          <w:p>
            <w:r>
              <w:t>条款</w:t>
            </w:r>
          </w:p>
        </w:tc>
        <w:tc>
          <w:tcPr>
            <w:tcW w:type="dxa" w:w="0"/>
          </w:tcPr>
          <w:p>
            <w:r>
              <w:t>级别（重/一）</w:t>
            </w:r>
          </w:p>
        </w:tc>
        <w:tc>
          <w:tcPr>
            <w:tcW w:type="dxa" w:w="0"/>
          </w:tcPr>
          <w:p>
            <w:r>
              <w:t>开具日期</w:t>
            </w:r>
          </w:p>
        </w:tc>
        <w:tc>
          <w:tcPr>
            <w:tcW w:type="dxa" w:w="0"/>
          </w:tcPr>
          <w:p>
            <w:r>
              <w:t>整改提交日（≤15 工作日）</w:t>
            </w:r>
          </w:p>
        </w:tc>
        <w:tc>
          <w:tcPr>
            <w:tcW w:type="dxa" w:w="0"/>
          </w:tcPr>
          <w:p>
            <w:r>
              <w:t>验证人</w:t>
            </w:r>
          </w:p>
        </w:tc>
        <w:tc>
          <w:tcPr>
            <w:tcW w:type="dxa" w:w="0"/>
          </w:tcPr>
          <w:p>
            <w:r>
              <w:t>验证方式①②③</w:t>
            </w:r>
          </w:p>
        </w:tc>
        <w:tc>
          <w:tcPr>
            <w:tcW w:type="dxa" w:w="0"/>
          </w:tcPr>
          <w:p>
            <w:r>
              <w:t>验证日期</w:t>
            </w:r>
          </w:p>
        </w:tc>
        <w:tc>
          <w:tcPr>
            <w:tcW w:type="dxa" w:w="0"/>
          </w:tcPr>
          <w:p>
            <w:r>
              <w:t>状态（开放/关闭/退回/升级）</w:t>
            </w:r>
          </w:p>
        </w:tc>
        <w:tc>
          <w:tcPr>
            <w:tcW w:type="dxa" w:w="0"/>
          </w:tcPr>
          <w:p>
            <w:r>
              <w:t>备注（退回次数/升级情况）</w:t>
            </w:r>
          </w:p>
        </w:tc>
      </w:tr>
      <w:tr>
        <w:tc>
          <w:tcPr>
            <w:tcW w:type="dxa" w:w="0"/>
          </w:tcPr>
          <w:p>
            <w:r>
              <w:t>NC-[20XX]-001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NC-[20XX]-002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r>
        <w:t>验证方式：① 复核修订后文件 ② 抽查整改后运行记录 ③ 现场复验 ④ 面谈确认</w:t>
      </w:r>
    </w:p>
    <w:p>
      <w:pPr>
        <w:pStyle w:val="Heading2"/>
      </w:pPr>
      <w:r>
        <w:t>2 单项验证记录（每个超过 2 次退回或升级的不符合项，附详细记录）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FR-24 编号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</w:tr>
      <w:tr>
        <w:tc>
          <w:tcPr>
            <w:tcW w:type="dxa" w:w="0"/>
          </w:tcPr>
          <w:p>
            <w:r>
              <w:t>第一次验证结论</w:t>
            </w:r>
          </w:p>
        </w:tc>
        <w:tc>
          <w:tcPr>
            <w:tcW w:type="dxa" w:w="0"/>
          </w:tcPr>
          <w:p>
            <w:r>
              <w:t>[验证方式、抽查证据、结论：通过/不通过及不通过理由]</w:t>
            </w:r>
          </w:p>
        </w:tc>
      </w:tr>
      <w:tr>
        <w:tc>
          <w:tcPr>
            <w:tcW w:type="dxa" w:w="0"/>
          </w:tcPr>
          <w:p>
            <w:r>
              <w:t>退回后补充整改</w:t>
            </w:r>
          </w:p>
        </w:tc>
        <w:tc>
          <w:tcPr>
            <w:tcW w:type="dxa" w:w="0"/>
          </w:tcPr>
          <w:p>
            <w:r>
              <w:t>[补充措施、责任人、完成时间]</w:t>
            </w:r>
          </w:p>
        </w:tc>
      </w:tr>
      <w:tr>
        <w:tc>
          <w:tcPr>
            <w:tcW w:type="dxa" w:w="0"/>
          </w:tcPr>
          <w:p>
            <w:r>
              <w:t>第二次验证结论</w:t>
            </w:r>
          </w:p>
        </w:tc>
        <w:tc>
          <w:tcPr>
            <w:tcW w:type="dxa" w:w="0"/>
          </w:tcPr>
          <w:p>
            <w:r>
              <w:t>[验证方式、证据、结论]</w:t>
            </w:r>
          </w:p>
        </w:tc>
      </w:tr>
      <w:tr>
        <w:tc>
          <w:tcPr>
            <w:tcW w:type="dxa" w:w="0"/>
          </w:tcPr>
          <w:p>
            <w:r>
              <w:t>最终处置</w:t>
            </w:r>
          </w:p>
        </w:tc>
        <w:tc>
          <w:tcPr>
            <w:tcW w:type="dxa" w:w="0"/>
          </w:tcPr>
          <w:p>
            <w:r>
              <w:t>□ 关闭 □ 升级报告实验室主任（触发：两次退回仍无效 / 超 60 日未闭环）处置决定：</w:t>
              <w:t>[填写]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 验证有效性判定要点（审核员对照自查）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维度</w:t>
            </w:r>
          </w:p>
        </w:tc>
        <w:tc>
          <w:tcPr>
            <w:tcW w:type="dxa" w:w="0"/>
          </w:tcPr>
          <w:p>
            <w:r>
              <w:t>「有效」的标志</w:t>
            </w:r>
          </w:p>
        </w:tc>
        <w:tc>
          <w:tcPr>
            <w:tcW w:type="dxa" w:w="0"/>
          </w:tcPr>
          <w:p>
            <w:r>
              <w:t>「无效/形式化」的信号</w:t>
            </w:r>
          </w:p>
        </w:tc>
      </w:tr>
      <w:tr>
        <w:tc>
          <w:tcPr>
            <w:tcW w:type="dxa" w:w="0"/>
          </w:tcPr>
          <w:p>
            <w:r>
              <w:t>原因层面</w:t>
            </w:r>
          </w:p>
        </w:tc>
        <w:tc>
          <w:tcPr>
            <w:tcW w:type="dxa" w:w="0"/>
          </w:tcPr>
          <w:p>
            <w:r>
              <w:t>措施针对根本原因（管理机制），而非只处理表象</w:t>
            </w:r>
          </w:p>
        </w:tc>
        <w:tc>
          <w:tcPr>
            <w:tcW w:type="dxa" w:w="0"/>
          </w:tcPr>
          <w:p>
            <w:r>
              <w:t>措施仅「对当事人再培训」「加强意识」</w:t>
            </w:r>
          </w:p>
        </w:tc>
      </w:tr>
      <w:tr>
        <w:tc>
          <w:tcPr>
            <w:tcW w:type="dxa" w:w="0"/>
          </w:tcPr>
          <w:p>
            <w:r>
              <w:t>证据层面</w:t>
            </w:r>
          </w:p>
        </w:tc>
        <w:tc>
          <w:tcPr>
            <w:tcW w:type="dxa" w:w="0"/>
          </w:tcPr>
          <w:p>
            <w:r>
              <w:t>复核了修订后文件版本、抽查了整改后的运行记录</w:t>
            </w:r>
          </w:p>
        </w:tc>
        <w:tc>
          <w:tcPr>
            <w:tcW w:type="dxa" w:w="0"/>
          </w:tcPr>
          <w:p>
            <w:r>
              <w:t>只看了整改报告文字，无任何运行证据</w:t>
            </w:r>
          </w:p>
        </w:tc>
      </w:tr>
      <w:tr>
        <w:tc>
          <w:tcPr>
            <w:tcW w:type="dxa" w:w="0"/>
          </w:tcPr>
          <w:p>
            <w:r>
              <w:t>重复层面</w:t>
            </w:r>
          </w:p>
        </w:tc>
        <w:tc>
          <w:tcPr>
            <w:tcW w:type="dxa" w:w="0"/>
          </w:tcPr>
          <w:p>
            <w:r>
              <w:t>同类问题在其他区域排查过并留痕</w:t>
            </w:r>
          </w:p>
        </w:tc>
        <w:tc>
          <w:tcPr>
            <w:tcW w:type="dxa" w:w="0"/>
          </w:tcPr>
          <w:p>
            <w:r>
              <w:t>只改了被查到的那一处</w:t>
            </w:r>
          </w:p>
        </w:tc>
      </w:tr>
      <w:tr>
        <w:tc>
          <w:tcPr>
            <w:tcW w:type="dxa" w:w="0"/>
          </w:tcPr>
          <w:p>
            <w:r>
              <w:t>时间层面</w:t>
            </w:r>
          </w:p>
        </w:tc>
        <w:tc>
          <w:tcPr>
            <w:tcW w:type="dxa" w:w="0"/>
          </w:tcPr>
          <w:p>
            <w:r>
              <w:t>闭环时间与措施性质匹配（文件修订后经一段运行再验证）</w:t>
            </w:r>
          </w:p>
        </w:tc>
        <w:tc>
          <w:tcPr>
            <w:tcW w:type="dxa" w:w="0"/>
          </w:tcPr>
          <w:p>
            <w:r>
              <w:t>开具次日出报告即申请关闭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管理动作：</w:t>
      </w:r>
      <w:r>
        <w:t>质量负责人每月刷新本台账一次，对「开放」超过 15 个工作日未提交整改的发出提醒；每季度向实验室主任通报闭环率；全年汇总结果转入 IA-05 趋势分析，作为管理评审输入。</w:t>
        <w:t xml:space="preserve"> </w:t>
        <w:t>IA-06 纠正措施跟踪验证表 · LabKitPro 内部审核整套资料包（中文版 v1.0）</w:t>
        <w:br/>
        <w:t>依据 ISO/IEC 17025:2017 §8.7 / §8.8 编制 · 付费模板，仅限购买方实验室内部使用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