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MR-02 管理评审通知与实施计划 | LabKitPro 管审资料包 :root{--ink:#10202e;--ink2:#38505f;--muted:#5d7180;--bg:#f6f8fa;--card:#fff;--line:#dde5eb;--brand:#0f2f4a;--accent:#0e8f7d;--accent2:#1b6ea8;--warn:#a35b1a} *{box-sizing:border-box;margin:0;padding:0} body{font-family:"Noto Sans SC","PingFang SC","Microsoft YaHei",-apple-system,sans-serif;background:var(--bg);color:var(--ink);line-height:1.8;font-size:15px}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h3{font-size:15.5px;font-weight:700;color:var(--ink2);margin:20px 0 8px} table{width:100%;border-collapse:collapse;margin:10px 0 6px;font-size:13px;table-layout:fixed} th{background:#eef3f7;color:var(--ink2);font-weight:700;text-align:left;padding:8px;border:1px solid var(--line)} td{padding:8px;border:1px solid var(--line);vertical-align:top} .fill tbody td{background:#fff} .note{background:#fff8ec;border:1px solid #f0d9b8;border-radius:10px;padding:12px 16px;font-size:13px;color:#6b5320;margin:14px 0} .note b{color:#a35b1a} .foot{margin-top:48px;padding-top:18px;border-top:1px solid var(--line);color:var(--muted);font-size:12.5px;text-align:center} @media(max-width:760px){h1{font-size:22px}table{font-size:12px;min-width:520px}th,td{padding:5px}.wrap{padding:0 14px 60px}} LabKitPro · 管理评审记录 · 配套 LP-09 §5.3 管理评审通知与实施计划</w:t>
      </w:r>
    </w:p>
    <w:p>
      <w:pPr>
        <w:pStyle w:val="Heading1"/>
      </w:pPr>
    </w:p>
    <w:p>
      <w:r>
        <w:t>Management Review Notice &amp; Implementation Plan —— 会前 ≥10 工作日下发，明确会议时间、参会人、议程与"待决议题清单"，确保会议聚焦决策而非通报。 文件编号 MR-02 版本 V1.0 对应 §8.9.1 / §8.9.2 下发：会前 ≥10 工作日 一 会议通知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会议名称</w:t>
            </w:r>
          </w:p>
        </w:tc>
        <w:tc>
          <w:tcPr>
            <w:tcW w:type="dxa" w:w="0"/>
          </w:tcPr>
          <w:p>
            <w:r>
              <w:t>[20XX] 年度管理评审会议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会议时间</w:t>
            </w:r>
          </w:p>
        </w:tc>
        <w:tc>
          <w:tcPr>
            <w:tcW w:type="dxa" w:w="0"/>
          </w:tcPr>
          <w:p>
            <w:r>
              <w:t>[YYYY-MM-DD HH:MM]</w:t>
            </w:r>
          </w:p>
        </w:tc>
        <w:tc>
          <w:tcPr>
            <w:tcW w:type="dxa" w:w="0"/>
          </w:tcPr>
          <w:p>
            <w:r>
              <w:t>会议地点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主持</w:t>
            </w:r>
          </w:p>
        </w:tc>
        <w:tc>
          <w:tcPr>
            <w:tcW w:type="dxa" w:w="0"/>
          </w:tcPr>
          <w:p>
            <w:r>
              <w:t>最高管理者</w:t>
            </w:r>
          </w:p>
        </w:tc>
        <w:tc>
          <w:tcPr>
            <w:tcW w:type="dxa" w:w="0"/>
          </w:tcPr>
          <w:p>
            <w:r>
              <w:t>记录人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参会人员</w:t>
            </w:r>
          </w:p>
        </w:tc>
        <w:tc>
          <w:tcPr>
            <w:tcW w:type="dxa" w:w="0"/>
          </w:tcPr>
          <w:p>
            <w:r>
              <w:t>[最高管理者、质量负责人、技术负责人、各部门负责人、授权签字人代表]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列席</w:t>
            </w:r>
          </w:p>
        </w:tc>
        <w:tc>
          <w:tcPr>
            <w:tcW w:type="dxa" w:w="0"/>
          </w:tcPr>
          <w:p>
            <w:r>
              <w:t>[必要时相关人员]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二 材料提交要求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0"/>
          </w:tcPr>
          <w:p>
            <w:r>
              <w:t xml:space="preserve">请各部门按 MR-03 与 MR-07 于 </w:t>
              <w:t>[会前 5 工作日]</w:t>
              <w:t xml:space="preserve"> 前提交 15 项输入（§8.9.2 a–o），每项须"有数据、有证据编号、有结论"。逾期或仅写"正常"将被退回补正。</w:t>
            </w:r>
          </w:p>
        </w:tc>
      </w:tr>
    </w:tbl>
    <w:p>
      <w:r>
        <w:t xml:space="preserve"> 三 会议议程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序号</w:t>
            </w:r>
          </w:p>
        </w:tc>
        <w:tc>
          <w:tcPr>
            <w:tcW w:type="dxa" w:w="0"/>
          </w:tcPr>
          <w:p>
            <w:r>
              <w:t>议程</w:t>
            </w:r>
          </w:p>
        </w:tc>
        <w:tc>
          <w:tcPr>
            <w:tcW w:type="dxa" w:w="0"/>
          </w:tcPr>
          <w:p>
            <w:r>
              <w:t>汇报人</w:t>
            </w:r>
          </w:p>
        </w:tc>
        <w:tc>
          <w:tcPr>
            <w:tcW w:type="dxa" w:w="0"/>
          </w:tcPr>
          <w:p>
            <w:r>
              <w:t>时长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宣布评审目的、范围与依据（§8.9.1）</w:t>
            </w:r>
          </w:p>
        </w:tc>
        <w:tc>
          <w:tcPr>
            <w:tcW w:type="dxa" w:w="0"/>
          </w:tcPr>
          <w:p>
            <w:r>
              <w:t>最高管理者</w:t>
            </w:r>
          </w:p>
        </w:tc>
        <w:tc>
          <w:tcPr>
            <w:tcW w:type="dxa" w:w="0"/>
          </w:tcPr>
          <w:p>
            <w:r>
              <w:t>10 min</w:t>
            </w:r>
          </w:p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内审结果及体系符合性/有效性结论（e 项，FR-25）</w:t>
            </w:r>
          </w:p>
        </w:tc>
        <w:tc>
          <w:tcPr>
            <w:tcW w:type="dxa" w:w="0"/>
          </w:tcPr>
          <w:p>
            <w:r>
              <w:t>审核组长</w:t>
            </w:r>
          </w:p>
        </w:tc>
        <w:tc>
          <w:tcPr>
            <w:tcW w:type="dxa" w:w="0"/>
          </w:tcPr>
          <w:p>
            <w:r>
              <w:t>15 min</w:t>
            </w:r>
          </w:p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目标达成与政策程序适宜性（b/c 项）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  <w:tc>
          <w:tcPr>
            <w:tcW w:type="dxa" w:w="0"/>
          </w:tcPr>
          <w:p>
            <w:r>
              <w:t>15 min</w:t>
            </w:r>
          </w:p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结果有效性与资源充分性（n/l 项）</w:t>
            </w:r>
          </w:p>
        </w:tc>
        <w:tc>
          <w:tcPr>
            <w:tcW w:type="dxa" w:w="0"/>
          </w:tcPr>
          <w:p>
            <w:r>
              <w:t>技术负责人</w:t>
            </w:r>
          </w:p>
        </w:tc>
        <w:tc>
          <w:tcPr>
            <w:tcW w:type="dxa" w:w="0"/>
          </w:tcPr>
          <w:p>
            <w:r>
              <w:t>15 min</w:t>
            </w:r>
          </w:p>
        </w:tc>
      </w:tr>
      <w:tr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外部评审、投诉、反馈、风险（g/i/j/m 项）</w:t>
            </w:r>
          </w:p>
        </w:tc>
        <w:tc>
          <w:tcPr>
            <w:tcW w:type="dxa" w:w="0"/>
          </w:tcPr>
          <w:p>
            <w:r>
              <w:t>相关部门</w:t>
            </w:r>
          </w:p>
        </w:tc>
        <w:tc>
          <w:tcPr>
            <w:tcW w:type="dxa" w:w="0"/>
          </w:tcPr>
          <w:p>
            <w:r>
              <w:t>15 min</w:t>
            </w:r>
          </w:p>
        </w:tc>
      </w:tr>
      <w:tr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以往措施状况（d 项）+ 改进有效性（k 项）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  <w:tc>
          <w:tcPr>
            <w:tcW w:type="dxa" w:w="0"/>
          </w:tcPr>
          <w:p>
            <w:r>
              <w:t>10 min</w:t>
            </w:r>
          </w:p>
        </w:tc>
      </w:tr>
      <w:tr>
        <w:tc>
          <w:tcPr>
            <w:tcW w:type="dxa" w:w="0"/>
          </w:tcPr>
          <w:p>
            <w:r>
              <w:t>7</w:t>
            </w:r>
          </w:p>
        </w:tc>
        <w:tc>
          <w:tcPr>
            <w:tcW w:type="dxa" w:w="0"/>
          </w:tcPr>
          <w:p>
            <w:r>
              <w:t>待决议题逐项决策（形成 §8.9.3 a–d 输出）</w:t>
            </w:r>
          </w:p>
        </w:tc>
        <w:tc>
          <w:tcPr>
            <w:tcW w:type="dxa" w:w="0"/>
          </w:tcPr>
          <w:p>
            <w:r>
              <w:t>最高管理者</w:t>
            </w:r>
          </w:p>
        </w:tc>
        <w:tc>
          <w:tcPr>
            <w:tcW w:type="dxa" w:w="0"/>
          </w:tcPr>
          <w:p>
            <w:r>
              <w:t>30 min</w:t>
            </w:r>
          </w:p>
        </w:tc>
      </w:tr>
      <w:tr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会议总结与后续行动布置</w:t>
            </w:r>
          </w:p>
        </w:tc>
        <w:tc>
          <w:tcPr>
            <w:tcW w:type="dxa" w:w="0"/>
          </w:tcPr>
          <w:p>
            <w:r>
              <w:t>最高管理者</w:t>
            </w:r>
          </w:p>
        </w:tc>
        <w:tc>
          <w:tcPr>
            <w:tcW w:type="dxa" w:w="0"/>
          </w:tcPr>
          <w:p>
            <w:r>
              <w:t>10 min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四 待决议题清单（会前预审生成）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编号</w:t>
            </w:r>
          </w:p>
        </w:tc>
        <w:tc>
          <w:tcPr>
            <w:tcW w:type="dxa" w:w="0"/>
          </w:tcPr>
          <w:p>
            <w:r>
              <w:t>议题</w:t>
            </w:r>
          </w:p>
        </w:tc>
        <w:tc>
          <w:tcPr>
            <w:tcW w:type="dxa" w:w="0"/>
          </w:tcPr>
          <w:p>
            <w:r>
              <w:t>关联输入项</w:t>
            </w:r>
          </w:p>
        </w:tc>
        <w:tc>
          <w:tcPr>
            <w:tcW w:type="dxa" w:w="0"/>
          </w:tcPr>
          <w:p>
            <w:r>
              <w:t>拟决策内容</w:t>
            </w:r>
          </w:p>
        </w:tc>
      </w:tr>
      <w:tr>
        <w:tc>
          <w:tcPr>
            <w:tcW w:type="dxa" w:w="0"/>
          </w:tcPr>
          <w:p>
            <w:r>
              <w:t>T1</w:t>
            </w:r>
          </w:p>
        </w:tc>
        <w:tc>
          <w:tcPr>
            <w:tcW w:type="dxa" w:w="0"/>
          </w:tcPr>
          <w:p>
            <w:r>
              <w:t>[如：报告按时率未达标，是否调目标/增资源]</w:t>
            </w:r>
          </w:p>
        </w:tc>
        <w:tc>
          <w:tcPr>
            <w:tcW w:type="dxa" w:w="0"/>
          </w:tcPr>
          <w:p>
            <w:r>
              <w:t>b/h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T2</w:t>
            </w:r>
          </w:p>
        </w:tc>
        <w:tc>
          <w:tcPr>
            <w:tcW w:type="dxa" w:w="0"/>
          </w:tcPr>
          <w:p>
            <w:r>
              <w:t>[如：关键设备稼动率高，是否增配]</w:t>
            </w:r>
          </w:p>
        </w:tc>
        <w:tc>
          <w:tcPr>
            <w:tcW w:type="dxa" w:w="0"/>
          </w:tcPr>
          <w:p>
            <w:r>
              <w:t>l/n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T3</w:t>
            </w:r>
          </w:p>
        </w:tc>
        <w:tc>
          <w:tcPr>
            <w:tcW w:type="dxa" w:w="0"/>
          </w:tcPr>
          <w:p>
            <w:r>
              <w:t>[如：扩项后体系文件是否修订]</w:t>
            </w:r>
          </w:p>
        </w:tc>
        <w:tc>
          <w:tcPr>
            <w:tcW w:type="dxa" w:w="0"/>
          </w:tcPr>
          <w:p>
            <w:r>
              <w:t>c/h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T4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五 发放与签收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拟发（质量负责人）</w:t>
            </w:r>
          </w:p>
        </w:tc>
        <w:tc>
          <w:tcPr>
            <w:tcW w:type="dxa" w:w="0"/>
          </w:tcPr>
          <w:p>
            <w:r>
              <w:t>签字/日期</w:t>
            </w:r>
          </w:p>
        </w:tc>
        <w:tc>
          <w:tcPr>
            <w:tcW w:type="dxa" w:w="0"/>
          </w:tcPr>
          <w:p>
            <w:r>
              <w:t>发放范围</w:t>
            </w:r>
          </w:p>
        </w:tc>
        <w:tc>
          <w:tcPr>
            <w:tcW w:type="dxa" w:w="0"/>
          </w:tcPr>
          <w:p>
            <w:r>
              <w:t>全体参会人员 + 相关部门</w:t>
            </w:r>
          </w:p>
        </w:tc>
      </w:tr>
      <w:tr>
        <w:tc>
          <w:tcPr>
            <w:tcW w:type="dxa" w:w="0"/>
          </w:tcPr>
          <w:p>
            <w:r>
              <w:t>接收确认</w:t>
            </w:r>
          </w:p>
        </w:tc>
        <w:tc>
          <w:tcPr>
            <w:tcW w:type="dxa" w:w="0"/>
          </w:tcPr>
          <w:p>
            <w:r>
              <w:t>[各部门签收或系统已读回执]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t xml:space="preserve"> </w:t>
      </w:r>
      <w:r>
        <w:rPr>
          <w:b/>
        </w:rPr>
        <w:t>提示：</w:t>
      </w:r>
      <w:r>
        <w:t>"待决议题清单"是避免会议跑题的关键。会前质量负责人须预审全部输入，把"需最高管理者拍板"的事项挑出形成 T1–Tn，会上只对这些议题做决定，其余信息类内容仅通报。</w:t>
        <w:t xml:space="preserve"> </w:t>
        <w:t>MR-02 管理评审通知与实施计划 · LabKitPro 管理评审整套资料包（中文版 v1.0）</w:t>
        <w:br/>
        <w:t>配套 LP-09 · 依据 ISO/IEC 17025:2017 §8.9 编制 · 付费模板，仅限购买方实验室内部使用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