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MR-07 管理评审输入准备日历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@media(max-width:760px){h1{font-size:22px}table{font-size:12px;min-width:520px}th,td{padding:5px}.wrap{padding:0 14px 60px}} LabKitPro · 管理评审记录 · 配套 LP-09 §5.2 / MR-01 管理评审输入准备日历</w:t>
      </w:r>
    </w:p>
    <w:p>
      <w:pPr>
        <w:pStyle w:val="Heading1"/>
      </w:pPr>
    </w:p>
    <w:p>
      <w:r>
        <w:t>Management Review Input Preparation Calendar —— 把 15 项输入（§8.9.2 a–o）的收集任务分解到月、责任到部门，配合 MR-01 计划倒排节点，避免临会抱佛脚。 文件编号 MR-07 版本 V1.0 对应 §8.9.2 a–o 维护：质量负责人 一 倒排节点（以 12 月评审为例）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时间窗</w:t>
            </w:r>
          </w:p>
        </w:tc>
        <w:tc>
          <w:tcPr>
            <w:tcW w:type="dxa" w:w="0"/>
          </w:tcPr>
          <w:p>
            <w:r>
              <w:t>任务</w:t>
            </w:r>
          </w:p>
        </w:tc>
        <w:tc>
          <w:tcPr>
            <w:tcW w:type="dxa" w:w="0"/>
          </w:tcPr>
          <w:p>
            <w:r>
              <w:t>责任</w:t>
            </w:r>
          </w:p>
        </w:tc>
      </w:tr>
      <w:tr>
        <w:tc>
          <w:tcPr>
            <w:tcW w:type="dxa" w:w="0"/>
          </w:tcPr>
          <w:p>
            <w:r>
              <w:t>评审前 8 周</w:t>
            </w:r>
          </w:p>
        </w:tc>
        <w:tc>
          <w:tcPr>
            <w:tcW w:type="dxa" w:w="0"/>
          </w:tcPr>
          <w:p>
            <w:r>
              <w:t>启动输入收集，下发本日历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评审前 6–3 周</w:t>
            </w:r>
          </w:p>
        </w:tc>
        <w:tc>
          <w:tcPr>
            <w:tcW w:type="dxa" w:w="0"/>
          </w:tcPr>
          <w:p>
            <w:r>
              <w:t>各部门按月填报 MR-03 对应项</w:t>
            </w:r>
          </w:p>
        </w:tc>
        <w:tc>
          <w:tcPr>
            <w:tcW w:type="dxa" w:w="0"/>
          </w:tcPr>
          <w:p>
            <w:r>
              <w:t>各部门</w:t>
            </w:r>
          </w:p>
        </w:tc>
      </w:tr>
      <w:tr>
        <w:tc>
          <w:tcPr>
            <w:tcW w:type="dxa" w:w="0"/>
          </w:tcPr>
          <w:p>
            <w:r>
              <w:t>评审前 5 工作日</w:t>
            </w:r>
          </w:p>
        </w:tc>
        <w:tc>
          <w:tcPr>
            <w:tcW w:type="dxa" w:w="0"/>
          </w:tcPr>
          <w:p>
            <w:r>
              <w:t>全部输入提交并预审（退补正）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评审前 10 工作日</w:t>
            </w:r>
          </w:p>
        </w:tc>
        <w:tc>
          <w:tcPr>
            <w:tcW w:type="dxa" w:w="0"/>
          </w:tcPr>
          <w:p>
            <w:r>
              <w:t>发 MR-02 通知 + 待决议题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评审日</w:t>
            </w:r>
          </w:p>
        </w:tc>
        <w:tc>
          <w:tcPr>
            <w:tcW w:type="dxa" w:w="0"/>
          </w:tcPr>
          <w:p>
            <w:r>
              <w:t>开会填 MR-04</w:t>
            </w:r>
          </w:p>
        </w:tc>
        <w:tc>
          <w:tcPr>
            <w:tcW w:type="dxa" w:w="0"/>
          </w:tcPr>
          <w:p>
            <w:r>
              <w:t>最高管理者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二 15 项输入月度分工表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输入</w:t>
            </w:r>
          </w:p>
        </w:tc>
        <w:tc>
          <w:tcPr>
            <w:tcW w:type="dxa" w:w="0"/>
          </w:tcPr>
          <w:p>
            <w:r>
              <w:t>牵头部门</w:t>
            </w:r>
          </w:p>
        </w:tc>
        <w:tc>
          <w:tcPr>
            <w:tcW w:type="dxa" w:w="0"/>
          </w:tcPr>
          <w:p>
            <w:r>
              <w:t>数据准备月</w:t>
            </w:r>
          </w:p>
        </w:tc>
        <w:tc>
          <w:tcPr>
            <w:tcW w:type="dxa" w:w="0"/>
          </w:tcPr>
          <w:p>
            <w:r>
              <w:t>提交截止（会前）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内外部因素变化</w:t>
            </w:r>
          </w:p>
        </w:tc>
        <w:tc>
          <w:tcPr>
            <w:tcW w:type="dxa" w:w="0"/>
          </w:tcPr>
          <w:p>
            <w:r>
              <w:t>综合/管理层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目标实现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政策程序适宜性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以往措施状况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内审结果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>[内审完成后]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纠正措施</w:t>
            </w:r>
          </w:p>
        </w:tc>
        <w:tc>
          <w:tcPr>
            <w:tcW w:type="dxa" w:w="0"/>
          </w:tcPr>
          <w:p>
            <w:r>
              <w:t>责任部门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外部评审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工作量/范围变化</w:t>
            </w:r>
          </w:p>
        </w:tc>
        <w:tc>
          <w:tcPr>
            <w:tcW w:type="dxa" w:w="0"/>
          </w:tcPr>
          <w:p>
            <w:r>
              <w:t>业务/技术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顾客/人员反馈</w:t>
            </w:r>
          </w:p>
        </w:tc>
        <w:tc>
          <w:tcPr>
            <w:tcW w:type="dxa" w:w="0"/>
          </w:tcPr>
          <w:p>
            <w:r>
              <w:t>综合/人事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改进有效性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资源充分性</w:t>
            </w:r>
          </w:p>
        </w:tc>
        <w:tc>
          <w:tcPr>
            <w:tcW w:type="dxa" w:w="0"/>
          </w:tcPr>
          <w:p>
            <w:r>
              <w:t>技术负责人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风险识别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结果有效性输出</w:t>
            </w:r>
          </w:p>
        </w:tc>
        <w:tc>
          <w:tcPr>
            <w:tcW w:type="dxa" w:w="0"/>
          </w:tcPr>
          <w:p>
            <w:r>
              <w:t>技术负责人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其他（监控/培训）</w:t>
            </w:r>
          </w:p>
        </w:tc>
        <w:tc>
          <w:tcPr>
            <w:tcW w:type="dxa" w:w="0"/>
          </w:tcPr>
          <w:p>
            <w:r>
              <w:t>各部门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三 进度看板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输入</w:t>
            </w:r>
          </w:p>
        </w:tc>
        <w:tc>
          <w:tcPr>
            <w:tcW w:type="dxa" w:w="0"/>
          </w:tcPr>
          <w:p>
            <w:r>
              <w:t>状态</w:t>
            </w:r>
          </w:p>
        </w:tc>
        <w:tc>
          <w:tcPr>
            <w:tcW w:type="dxa" w:w="0"/>
          </w:tcPr>
          <w:p>
            <w:r>
              <w:t>提交人</w:t>
            </w:r>
          </w:p>
        </w:tc>
        <w:tc>
          <w:tcPr>
            <w:tcW w:type="dxa" w:w="0"/>
          </w:tcPr>
          <w:p>
            <w:r>
              <w:t>提交日期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内外部因素变化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目标实现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政策程序适宜性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以往措施状况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内审结果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纠正措施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外部评审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工作量/范围变化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顾客/人员反馈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改进有效性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资源充分性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风险识别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结果有效性输出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其他（监控/培训）</w:t>
            </w:r>
          </w:p>
        </w:tc>
        <w:tc>
          <w:tcPr>
            <w:tcW w:type="dxa" w:w="0"/>
          </w:tcPr>
          <w:p>
            <w:r>
              <w:t>□未启 □进行 □已交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提示：</w:t>
      </w:r>
      <w:r>
        <w:t>本日历挂在质量负责人处按月更新；任一输入临期未启动即提醒牵头部门。全部"已交"且预审通过后，方可发出 MR-02 进入会议阶段。</w:t>
        <w:t xml:space="preserve"> </w:t>
        <w:t>MR-07 管理评审输入准备日历 · LabKitPro 管理评审整套资料包（中文版 v1.0）</w:t>
        <w:br/>
        <w:t>配套 LP-09 / MR-01 · 依据 ISO/IEC 17025:2017 §8.9.2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