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12" w:space="6" w:color="1F6FEB"/>
        </w:pBdr>
      </w:pPr>
      <w:r>
        <w:rPr>
          <w:rFonts w:ascii="Calibri" w:hAnsi="Calibri" w:eastAsia="Calibri"/>
          <w:b/>
          <w:color w:val="1F6FEB"/>
          <w:sz w:val="22"/>
        </w:rPr>
        <w:t>LABKITPRO</w:t>
      </w:r>
      <w:r>
        <w:rPr>
          <w:rFonts w:ascii="Calibri" w:hAnsi="Calibri" w:eastAsia="Calibri"/>
          <w:color w:val="5B6B7F"/>
          <w:sz w:val="18"/>
        </w:rPr>
        <w:t xml:space="preserve">   |   ISO/IEC 17025:2017 toolkit   |   Reality Diagnosis</w:t>
      </w:r>
    </w:p>
    <w:p>
      <w:pPr>
        <w:spacing w:before="200" w:after="40"/>
      </w:pPr>
      <w:r>
        <w:rPr>
          <w:rFonts w:ascii="Calibri" w:hAnsi="Calibri" w:eastAsia="Calibri"/>
          <w:b/>
          <w:color w:val="0F2A4A"/>
          <w:sz w:val="38"/>
        </w:rPr>
        <w:t>Laboratory Conformity Reality Diagnosis</w:t>
      </w:r>
    </w:p>
    <w:p>
      <w:pPr>
        <w:spacing w:after="80"/>
      </w:pPr>
      <w:r>
        <w:rPr>
          <w:rFonts w:ascii="Calibri" w:hAnsi="Calibri" w:eastAsia="Calibri"/>
          <w:i/>
          <w:color w:val="5B6B7F"/>
          <w:sz w:val="20"/>
        </w:rPr>
        <w:t>ISO/IEC 17025:2017 · generic framework diagnosis · not tailored to any laboratory</w:t>
      </w:r>
    </w:p>
    <w:p/>
    <w:p>
      <w:pPr w:spacing="160">
        <w:spacing w:before="40" w:after="240"/>
        <w:shd w:val="clear" w:color="auto" w:fill="FFF7ED"/>
        <w:pBdr>
          <w:left w:val="single" w:sz="30" w:space="6" w:color="F59E0B"/>
        </w:pBdr>
      </w:pPr>
      <w:r>
        <w:rPr>
          <w:rFonts w:ascii="Calibri" w:hAnsi="Calibri" w:eastAsia="Calibri"/>
          <w:b/>
          <w:color w:val="B45309"/>
          <w:sz w:val="21"/>
        </w:rPr>
        <w:t>DEMO SAMPLE — what this file is</w:t>
        <w:br/>
      </w:r>
      <w:r>
        <w:rPr>
          <w:rFonts w:ascii="Calibri" w:hAnsi="Calibri" w:eastAsia="Calibri"/>
          <w:color w:val="B45309"/>
          <w:sz w:val="19"/>
        </w:rPr>
        <w:t>A generic sample showing the structure, depth and tone of a LabKitPro Reality Diagnosis. The paid full version is generated from your country, accreditation body, industry, assessment stage and the documents you upload — including a written consultant view and a prioritised action plan.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1  Purpose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 w:val="0"/>
          <w:color w:val="14202E"/>
          <w:sz w:val="21"/>
        </w:rPr>
        <w:t>Self-assess the laboratory against ISO/IEC 17025:2017 clauses §4–§8, overlaid with the real review focus of the selected accreditation body, and convert findings into prioritised, evidence-linked actions. The diagnosis is a preparation aid; it is not an accreditation-body decision.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2  Scope and basis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 w:val="0"/>
          <w:color w:val="14202E"/>
          <w:sz w:val="21"/>
        </w:rPr>
        <w:t>Generic ISO/IEC 17025:2017 framework, applicable to all laboratories regardless of discipline. The diagnosis reads what you provide — narrative text and/or uploaded documents — and reports only what is evidenced there. Dimensions not mentioned are marked N/A rather than guessed. The full version narrows scope to your selected accreditation body (A2LA, NVLAP, UKAS, NABL, SAC, NATA, ILAC), your laboratory type and your industry.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3  Eight-lens conformity snapshot (sample)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 w:val="0"/>
          <w:color w:val="5B6B7F"/>
          <w:sz w:val="20"/>
        </w:rPr>
        <w:t>The eight lenses are the user-facing view of the standard: Man, Machine, Material, Method, Environment, Measurement, System and Impartiality. Each is scored only against what was mentioned.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800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Lens</w:t>
            </w:r>
          </w:p>
        </w:tc>
        <w:tc>
          <w:tcPr>
            <w:tcW w:type="dxa" w:w="936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600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Sample observation</w:t>
            </w:r>
          </w:p>
        </w:tc>
        <w:tc>
          <w:tcPr>
            <w:tcW w:type="dxa" w:w="259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Typical evidence to close the gap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Man — personnel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Competence records incomplete for two analysts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Training &amp; authorisation log (WI, FR)</w:t>
            </w:r>
          </w:p>
        </w:tc>
      </w:tr>
      <w:tr>
        <w:tc>
          <w:tcPr>
            <w:tcW w:type="dxa" w:w="18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Machine — equipment</w:t>
            </w:r>
          </w:p>
        </w:tc>
        <w:tc>
          <w:tcPr>
            <w:tcW w:type="dxa" w:w="93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Good</w:t>
            </w:r>
          </w:p>
        </w:tc>
        <w:tc>
          <w:tcPr>
            <w:tcW w:type="dxa" w:w="36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Calibration status current; interim checks ad hoc</w:t>
            </w:r>
          </w:p>
        </w:tc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Interim-check schedule (WI, FR)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Material — items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Handling/storage procedures present, not fully applied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Signed handling records (WI, FR)</w:t>
            </w:r>
          </w:p>
        </w:tc>
      </w:tr>
      <w:tr>
        <w:tc>
          <w:tcPr>
            <w:tcW w:type="dxa" w:w="18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Method</w:t>
            </w:r>
          </w:p>
        </w:tc>
        <w:tc>
          <w:tcPr>
            <w:tcW w:type="dxa" w:w="93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</w:t>
            </w:r>
          </w:p>
        </w:tc>
        <w:tc>
          <w:tcPr>
            <w:tcW w:type="dxa" w:w="36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Validation evidence thin for two methods</w:t>
            </w:r>
          </w:p>
        </w:tc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Validation report per method (LP, FR)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Environment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Good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Monitoring data available; limits not justified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Fitness-for-purpose justification (WI)</w:t>
            </w:r>
          </w:p>
        </w:tc>
      </w:tr>
      <w:tr>
        <w:tc>
          <w:tcPr>
            <w:tcW w:type="dxa" w:w="18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Measurement — MU</w:t>
            </w:r>
          </w:p>
        </w:tc>
        <w:tc>
          <w:tcPr>
            <w:tcW w:type="dxa" w:w="93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</w:t>
            </w:r>
          </w:p>
        </w:tc>
        <w:tc>
          <w:tcPr>
            <w:tcW w:type="dxa" w:w="36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Uncertainty budgets exist but are not maintained</w:t>
            </w:r>
          </w:p>
        </w:tc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Current budget per scope (LP, FR)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System — management</w:t>
            </w:r>
          </w:p>
        </w:tc>
        <w:tc>
          <w:tcPr>
            <w:tcW w:type="dxa" w:w="93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Audit trail and CAPA closure weak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Audit plan, findings, closure log (LP, FR)</w:t>
            </w:r>
          </w:p>
        </w:tc>
      </w:tr>
      <w:tr>
        <w:tc>
          <w:tcPr>
            <w:tcW w:type="dxa" w:w="18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Impartiality</w:t>
            </w:r>
          </w:p>
        </w:tc>
        <w:tc>
          <w:tcPr>
            <w:tcW w:type="dxa" w:w="93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Good</w:t>
            </w:r>
          </w:p>
        </w:tc>
        <w:tc>
          <w:tcPr>
            <w:tcW w:type="dxa" w:w="3600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Policy present; risk review performed annually</w:t>
            </w:r>
          </w:p>
        </w:tc>
        <w:tc>
          <w:tcPr>
            <w:tcW w:type="dxa" w:w="259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Risk review record (LP, FR)</w:t>
            </w:r>
          </w:p>
        </w:tc>
      </w:tr>
    </w:tbl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4  Clause-section snapshot (sample)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Clause</w:t>
            </w:r>
          </w:p>
        </w:tc>
        <w:tc>
          <w:tcPr>
            <w:tcW w:type="dxa" w:w="187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Sample status</w:t>
            </w:r>
          </w:p>
        </w:tc>
        <w:tc>
          <w:tcPr>
            <w:tcW w:type="dxa" w:w="3744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Illustrative gap</w:t>
            </w:r>
          </w:p>
        </w:tc>
        <w:tc>
          <w:tcPr>
            <w:tcW w:type="dxa" w:w="172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Linked template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§4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 · 70%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Impartiality commitment not re-dated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FR-02</w:t>
            </w:r>
          </w:p>
        </w:tc>
      </w:tr>
      <w:tr>
        <w:tc>
          <w:tcPr>
            <w:tcW w:type="dxa" w:w="115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§5</w:t>
            </w:r>
          </w:p>
        </w:tc>
        <w:tc>
          <w:tcPr>
            <w:tcW w:type="dxa" w:w="187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 · 65%</w:t>
            </w:r>
          </w:p>
        </w:tc>
        <w:tc>
          <w:tcPr>
            <w:tcW w:type="dxa" w:w="374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Responsibility matrix incomplete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FR-04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§6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 · 60%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Competence monitoring weak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FR-09</w:t>
            </w:r>
          </w:p>
        </w:tc>
      </w:tr>
      <w:tr>
        <w:tc>
          <w:tcPr>
            <w:tcW w:type="dxa" w:w="115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§7</w:t>
            </w:r>
          </w:p>
        </w:tc>
        <w:tc>
          <w:tcPr>
            <w:tcW w:type="dxa" w:w="187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 · 55%</w:t>
            </w:r>
          </w:p>
        </w:tc>
        <w:tc>
          <w:tcPr>
            <w:tcW w:type="dxa" w:w="3744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Method validation thin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FR-13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§8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Partial · 68%</w:t>
            </w:r>
          </w:p>
        </w:tc>
        <w:tc>
          <w:tcPr>
            <w:tcW w:type="dxa" w:w="3744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Internal-audit trail sparse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FR-21</w:t>
            </w:r>
          </w:p>
        </w:tc>
      </w:tr>
    </w:tbl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5  Consultant view (excerpt)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 w:val="0"/>
          <w:color w:val="5B6B7F"/>
          <w:sz w:val="20"/>
        </w:rPr>
        <w:t>In the full deliverable this section is written for you, from your own words — a bright spot, an overall judgement consistent with the numbers, and the priority actions to take next. A representative excerpt reads:</w:t>
      </w:r>
    </w:p>
    <w:p>
      <w:pPr>
        <w:spacing w:after="100" w:line="269" w:lineRule="auto"/>
      </w:pPr>
      <w:r>
        <w:rPr>
          <w:rFonts w:ascii="Calibri" w:hAnsi="Calibri" w:eastAsia="Calibri"/>
          <w:b w:val="0"/>
          <w:i/>
          <w:color w:val="14202E"/>
          <w:sz w:val="21"/>
        </w:rPr>
        <w:t>“Good news first: the equipment and impartiality lenses are already in reasonable shape — calibration status is current and the impartiality risk review is performed on schedule, which are two areas assessors probe early. The pressure points are concentrated in §6 and §7: competence monitoring and method validation. Neither is unusual for a laboratory at the preparation stage; both are closeable with documentation you almost certainly already hold. The single highest-leverage action is to make the competence record complete for every person who signs a result — that one fix removes the most likely nonconformity in this report.”</w:t>
      </w:r>
    </w:p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6  Priority action plan (sample)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32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00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Clause</w:t>
            </w:r>
          </w:p>
        </w:tc>
        <w:tc>
          <w:tcPr>
            <w:tcW w:type="dxa" w:w="1728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Linked template</w:t>
            </w:r>
          </w:p>
        </w:tc>
        <w:tc>
          <w:tcPr>
            <w:tcW w:type="dxa" w:w="1296"/>
            <w:shd w:val="clear" w:color="auto" w:fill="0F2A4A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Horizon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1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Complete and sign competence records for all authorised analysts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§6.2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FR-09 / WI-03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0–30 days</w:t>
            </w:r>
          </w:p>
        </w:tc>
      </w:tr>
      <w:tr>
        <w:tc>
          <w:tcPr>
            <w:tcW w:type="dxa" w:w="43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2</w:t>
            </w:r>
          </w:p>
        </w:tc>
        <w:tc>
          <w:tcPr>
            <w:tcW w:type="dxa" w:w="460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Produce validation evidence for the two unvalidated methods</w:t>
            </w:r>
          </w:p>
        </w:tc>
        <w:tc>
          <w:tcPr>
            <w:tcW w:type="dxa" w:w="100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§7.2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FR-14 / LP-06</w:t>
            </w:r>
          </w:p>
        </w:tc>
        <w:tc>
          <w:tcPr>
            <w:tcW w:type="dxa" w:w="129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0–60 days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3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Justify and document environmental monitoring limits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§6.3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WI-05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0–60 days</w:t>
            </w:r>
          </w:p>
        </w:tc>
      </w:tr>
      <w:tr>
        <w:tc>
          <w:tcPr>
            <w:tcW w:type="dxa" w:w="432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4</w:t>
            </w:r>
          </w:p>
        </w:tc>
        <w:tc>
          <w:tcPr>
            <w:tcW w:type="dxa" w:w="460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Run an internal audit and close CAPA items on the record</w:t>
            </w:r>
          </w:p>
        </w:tc>
        <w:tc>
          <w:tcPr>
            <w:tcW w:type="dxa" w:w="100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§8.8</w:t>
            </w:r>
          </w:p>
        </w:tc>
        <w:tc>
          <w:tcPr>
            <w:tcW w:type="dxa" w:w="1728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FR-21 / LP-08</w:t>
            </w:r>
          </w:p>
        </w:tc>
        <w:tc>
          <w:tcPr>
            <w:tcW w:type="dxa" w:w="1296"/>
            <w:shd w:val="clear" w:color="auto" w:fill="F3F7FC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30–90 days</w:t>
            </w:r>
          </w:p>
        </w:tc>
      </w:tr>
      <w:tr>
        <w:tc>
          <w:tcPr>
            <w:tcW w:type="dxa" w:w="432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5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Refresh uncertainty budgets for the declared scope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§7.5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FR-13 / LP-07</w:t>
            </w:r>
          </w:p>
        </w:tc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color w:val="14202E"/>
                <w:sz w:val="18"/>
              </w:rPr>
              <w:t>30–90 days</w:t>
            </w:r>
          </w:p>
        </w:tc>
      </w:tr>
    </w:tbl>
    <w:p>
      <w:pPr>
        <w:spacing w:before="280" w:after="100"/>
        <w:pBdr>
          <w:bottom w:val="single" w:sz="6" w:space="6" w:color="0F2A4A"/>
        </w:pBdr>
      </w:pPr>
      <w:r>
        <w:rPr>
          <w:rFonts w:ascii="Calibri" w:hAnsi="Calibri" w:eastAsia="Calibri"/>
          <w:b/>
          <w:color w:val="0F2A4A"/>
          <w:sz w:val="27"/>
        </w:rPr>
        <w:t>7  What the full deliverable adds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Written consultant view — </w:t>
      </w:r>
      <w:r>
        <w:rPr>
          <w:rFonts w:ascii="Calibri" w:hAnsi="Calibri" w:eastAsia="Calibri"/>
          <w:b/>
          <w:color w:val="0F2A4A"/>
          <w:sz w:val="21"/>
        </w:rPr>
        <w:t>bright spots, overall judgement and priority actions, in your context.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Body-specific focus — </w:t>
      </w:r>
      <w:r>
        <w:rPr>
          <w:rFonts w:ascii="Calibri" w:hAnsi="Calibri" w:eastAsia="Calibri"/>
          <w:b/>
          <w:color w:val="0F2A4A"/>
          <w:sz w:val="21"/>
        </w:rPr>
        <w:t>your accreditation body’s real review points and mandatory clauses.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Your inputs used directly — </w:t>
      </w:r>
      <w:r>
        <w:rPr>
          <w:rFonts w:ascii="Calibri" w:hAnsi="Calibri" w:eastAsia="Calibri"/>
          <w:b/>
          <w:color w:val="0F2A4A"/>
          <w:sz w:val="21"/>
        </w:rPr>
        <w:t>country, body, industry, stage and any document you upload.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Clause-by-clause evidence map — </w:t>
      </w:r>
      <w:r>
        <w:rPr>
          <w:rFonts w:ascii="Calibri" w:hAnsi="Calibri" w:eastAsia="Calibri"/>
          <w:b/>
          <w:color w:val="0F2A4A"/>
          <w:sz w:val="21"/>
        </w:rPr>
        <w:t>each finding linked to the record that closes it.</w:t>
      </w:r>
    </w:p>
    <w:p>
      <w:pPr>
        <w:pStyle w:val="ListBullet"/>
        <w:spacing w:after="60"/>
      </w:pPr>
      <w:r>
        <w:rPr>
          <w:rFonts w:ascii="Calibri" w:hAnsi="Calibri" w:eastAsia="Calibri"/>
          <w:color w:val="5B6B7F"/>
          <w:sz w:val="21"/>
        </w:rPr>
        <w:t xml:space="preserve">Exportable, watermark-free Word (.docx) — </w:t>
      </w:r>
      <w:r>
        <w:rPr>
          <w:rFonts w:ascii="Calibri" w:hAnsi="Calibri" w:eastAsia="Calibri"/>
          <w:b/>
          <w:color w:val="0F2A4A"/>
          <w:sz w:val="21"/>
        </w:rPr>
        <w:t>ready to circulate internally.</w:t>
      </w:r>
    </w:p>
    <w:p>
      <w:pPr>
        <w:spacing w:after="80" w:line="269" w:lineRule="auto"/>
      </w:pPr>
      <w:r>
        <w:rPr>
          <w:rFonts w:ascii="Calibri" w:hAnsi="Calibri" w:eastAsia="Calibri"/>
          <w:b w:val="0"/>
          <w:i/>
          <w:color w:val="5B6B7F"/>
          <w:sz w:val="19"/>
        </w:rPr>
        <w:t>This is a generic demonstration sample produced by LabKitPro. It shows structure, wording and evidence logic only — none of your personalization inputs (country, accreditation body, industry, stage, uploaded documents) are applied. The full, tailored and watermark-free deliverable is generated from your context at labkitpro.com.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94A3B8"/>
        <w:sz w:val="17"/>
      </w:rPr>
      <w:t xml:space="preserve">LabKitPro  ·  ISO/IEC 17025:2017 toolkit  ·  labkitpro.com        Page </w:t>
    </w:r>
    <w:r>
      <w:rPr>
        <w:rFonts w:ascii="Calibri" w:hAnsi="Calibri" w:eastAsia="Calibri"/>
        <w:color w:val="94A3B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94A3B8"/>
        <w:sz w:val="16"/>
      </w:rPr>
      <w:t>DEMO SAMPLE  ·  NOT A FULL DELIVERABLE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