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12" w:space="6" w:color="1F6FEB"/>
        </w:pBdr>
      </w:pPr>
      <w:r>
        <w:rPr>
          <w:rFonts w:ascii="Calibri" w:hAnsi="Calibri" w:eastAsia="Calibri"/>
          <w:b/>
          <w:color w:val="1F6FEB"/>
          <w:sz w:val="22"/>
        </w:rPr>
        <w:t>LABKITPRO</w:t>
      </w:r>
      <w:r>
        <w:rPr>
          <w:rFonts w:ascii="Calibri" w:hAnsi="Calibri" w:eastAsia="Calibri"/>
          <w:color w:val="5B6B7F"/>
          <w:sz w:val="18"/>
        </w:rPr>
        <w:t xml:space="preserve">   |   ISO/IEC 17025:2017 toolkit   |   Document Generation</w:t>
      </w:r>
    </w:p>
    <w:p>
      <w:pPr>
        <w:spacing w:before="200" w:after="40"/>
      </w:pPr>
      <w:r>
        <w:rPr>
          <w:rFonts w:ascii="Calibri" w:hAnsi="Calibri" w:eastAsia="Calibri"/>
          <w:b/>
          <w:color w:val="0F2A4A"/>
          <w:sz w:val="38"/>
        </w:rPr>
        <w:t>Quality Manual — Structure Sample (Excerpt)</w:t>
      </w:r>
    </w:p>
    <w:p>
      <w:pPr>
        <w:spacing w:after="80"/>
      </w:pPr>
      <w:r>
        <w:rPr>
          <w:rFonts w:ascii="Calibri" w:hAnsi="Calibri" w:eastAsia="Calibri"/>
          <w:i/>
          <w:color w:val="5B6B7F"/>
          <w:sz w:val="20"/>
        </w:rPr>
        <w:t>ISO/IEC 17025:2017 · generic structure, wording and evidence logic · not tailored to any laboratory</w:t>
      </w:r>
    </w:p>
    <w:p/>
    <w:p>
      <w:pPr w:spacing="160">
        <w:spacing w:before="40" w:after="240"/>
        <w:shd w:val="clear" w:color="auto" w:fill="FFF7ED"/>
        <w:pBdr>
          <w:left w:val="single" w:sz="30" w:space="6" w:color="F59E0B"/>
        </w:pBdr>
      </w:pPr>
      <w:r>
        <w:rPr>
          <w:rFonts w:ascii="Calibri" w:hAnsi="Calibri" w:eastAsia="Calibri"/>
          <w:b/>
          <w:color w:val="B45309"/>
          <w:sz w:val="21"/>
        </w:rPr>
        <w:t>DEMO SAMPLE — what this file is</w:t>
        <w:br/>
      </w:r>
      <w:r>
        <w:rPr>
          <w:rFonts w:ascii="Calibri" w:hAnsi="Calibri" w:eastAsia="Calibri"/>
          <w:color w:val="B45309"/>
          <w:sz w:val="19"/>
        </w:rPr>
        <w:t>A generic sample of the structure and depth LabKitPro produces from a one-sentence request (here: "a quality manual for a testing and calibration laboratory"). The paid full deliverable is generated around your country, accreditation body, industry and the documents you upload — with clause-level detail, mandatory procedures and prohibited terms woven in.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color="auto" w:fill="0F2A4A"/>
          </w:tcPr>
          <w:p>
            <w:pPr>
              <w:spacing w:after="0"/>
            </w:pPr>
            <w:r/>
            <w:r>
              <w:rPr>
                <w:rFonts w:ascii="Calibri" w:hAnsi="Calibri" w:eastAsia="Calibri"/>
                <w:b/>
                <w:color w:val="FFFFFF"/>
                <w:sz w:val="18"/>
              </w:rPr>
              <w:t>Document No.</w:t>
            </w:r>
          </w:p>
        </w:tc>
        <w:tc>
          <w:tcPr>
            <w:tcW w:type="dxa" w:w="1440"/>
            <w:shd w:val="clear" w:color="auto" w:fill="0F2A4A"/>
          </w:tcPr>
          <w:p>
            <w:pPr>
              <w:spacing w:after="0"/>
            </w:pPr>
            <w:r/>
            <w:r>
              <w:rPr>
                <w:rFonts w:ascii="Calibri" w:hAnsi="Calibri" w:eastAsia="Calibri"/>
                <w:b/>
                <w:color w:val="FFFFFF"/>
                <w:sz w:val="18"/>
              </w:rPr>
              <w:t>Revision</w:t>
            </w:r>
          </w:p>
        </w:tc>
        <w:tc>
          <w:tcPr>
            <w:tcW w:type="dxa" w:w="2016"/>
            <w:shd w:val="clear" w:color="auto" w:fill="0F2A4A"/>
          </w:tcPr>
          <w:p>
            <w:pPr>
              <w:spacing w:after="0"/>
            </w:pPr>
            <w:r/>
            <w:r>
              <w:rPr>
                <w:rFonts w:ascii="Calibri" w:hAnsi="Calibri" w:eastAsia="Calibri"/>
                <w:b/>
                <w:color w:val="FFFFFF"/>
                <w:sz w:val="18"/>
              </w:rPr>
              <w:t>Issue date</w:t>
            </w:r>
          </w:p>
        </w:tc>
        <w:tc>
          <w:tcPr>
            <w:tcW w:type="dxa" w:w="3744"/>
            <w:shd w:val="clear" w:color="auto" w:fill="0F2A4A"/>
          </w:tcPr>
          <w:p>
            <w:pPr>
              <w:spacing w:after="0"/>
            </w:pPr>
            <w:r/>
            <w:r>
              <w:rPr>
                <w:rFonts w:ascii="Calibri" w:hAnsi="Calibri" w:eastAsia="Calibri"/>
                <w:b/>
                <w:color w:val="FFFFFF"/>
                <w:sz w:val="18"/>
              </w:rPr>
              <w:t>Prepared / approved by</w:t>
            </w:r>
          </w:p>
        </w:tc>
      </w:tr>
      <w:tr>
        <w:tc>
          <w:tcPr>
            <w:tcW w:type="dxa" w:w="2304"/>
          </w:tcPr>
          <w:p>
            <w:pPr>
              <w:spacing w:after="0"/>
            </w:pPr>
            <w:r/>
            <w:r>
              <w:rPr>
                <w:rFonts w:ascii="Calibri" w:hAnsi="Calibri" w:eastAsia="Calibri"/>
                <w:color w:val="14202E"/>
                <w:sz w:val="18"/>
              </w:rPr>
              <w:t>QM-01</w:t>
            </w:r>
          </w:p>
        </w:tc>
        <w:tc>
          <w:tcPr>
            <w:tcW w:type="dxa" w:w="1440"/>
          </w:tcPr>
          <w:p>
            <w:pPr>
              <w:spacing w:after="0"/>
            </w:pPr>
            <w:r/>
            <w:r>
              <w:rPr>
                <w:rFonts w:ascii="Calibri" w:hAnsi="Calibri" w:eastAsia="Calibri"/>
                <w:color w:val="14202E"/>
                <w:sz w:val="18"/>
              </w:rPr>
              <w:t>1.0</w:t>
            </w:r>
          </w:p>
        </w:tc>
        <w:tc>
          <w:tcPr>
            <w:tcW w:type="dxa" w:w="2016"/>
          </w:tcPr>
          <w:p>
            <w:pPr>
              <w:spacing w:after="0"/>
            </w:pPr>
            <w:r/>
            <w:r>
              <w:rPr>
                <w:rFonts w:ascii="Calibri" w:hAnsi="Calibri" w:eastAsia="Calibri"/>
                <w:color w:val="14202E"/>
                <w:sz w:val="18"/>
              </w:rPr>
              <w:t>2026-01-01</w:t>
            </w:r>
          </w:p>
        </w:tc>
        <w:tc>
          <w:tcPr>
            <w:tcW w:type="dxa" w:w="3744"/>
          </w:tcPr>
          <w:p>
            <w:pPr>
              <w:spacing w:after="0"/>
            </w:pPr>
            <w:r/>
            <w:r>
              <w:rPr>
                <w:rFonts w:ascii="Calibri" w:hAnsi="Calibri" w:eastAsia="Calibri"/>
                <w:color w:val="14202E"/>
                <w:sz w:val="18"/>
              </w:rPr>
              <w:t>Quality Manager / Managing Director</w:t>
            </w:r>
          </w:p>
        </w:tc>
      </w:tr>
    </w:tbl>
    <w:p>
      <w:pPr>
        <w:spacing w:before="280" w:after="100"/>
        <w:pBdr>
          <w:bottom w:val="single" w:sz="6" w:space="6" w:color="0F2A4A"/>
        </w:pBdr>
      </w:pPr>
      <w:r>
        <w:rPr>
          <w:rFonts w:ascii="Calibri" w:hAnsi="Calibri" w:eastAsia="Calibri"/>
          <w:b/>
          <w:color w:val="0F2A4A"/>
          <w:sz w:val="27"/>
        </w:rPr>
        <w:t>1  Purpose, scope and applicability</w:t>
      </w:r>
    </w:p>
    <w:p>
      <w:pPr>
        <w:spacing w:after="100" w:line="269" w:lineRule="auto"/>
      </w:pPr>
      <w:r>
        <w:rPr>
          <w:rFonts w:ascii="Calibri" w:hAnsi="Calibri" w:eastAsia="Calibri"/>
          <w:b w:val="0"/>
          <w:i w:val="0"/>
          <w:color w:val="14202E"/>
          <w:sz w:val="21"/>
        </w:rPr>
        <w:t>This Quality Manual defines the management system of a testing and calibration laboratory operating under ISO/IEC 17025:2017. It addresses the general, structural, resource, process and management-system requirements (§4–§8) applicable to the laboratory’s declared scope of accreditation, and it states the policies by which the laboratory demonstrates competence, impartiality and consistently valid results.</w:t>
      </w:r>
    </w:p>
    <w:p>
      <w:pPr>
        <w:spacing w:after="100" w:line="269" w:lineRule="auto"/>
      </w:pPr>
      <w:r>
        <w:rPr>
          <w:rFonts w:ascii="Calibri" w:hAnsi="Calibri" w:eastAsia="Calibri"/>
          <w:b w:val="0"/>
          <w:i/>
          <w:color w:val="5B6B7F"/>
          <w:sz w:val="20"/>
        </w:rPr>
        <w:t>The manual is the top tier of the laboratory’s documented system. It is supported by procedures (LP), work instructions (WI) and forms/records (FR); each clause below names the tier that carries the operational detail. In the full version this section is instantiated for your laboratory type (testing, calibration or both), your accreditation body and your declared scope.</w:t>
      </w:r>
    </w:p>
    <w:p>
      <w:pPr>
        <w:spacing w:before="280" w:after="100"/>
        <w:pBdr>
          <w:bottom w:val="single" w:sz="6" w:space="6" w:color="0F2A4A"/>
        </w:pBdr>
      </w:pPr>
      <w:r>
        <w:rPr>
          <w:rFonts w:ascii="Calibri" w:hAnsi="Calibri" w:eastAsia="Calibri"/>
          <w:b/>
          <w:color w:val="0F2A4A"/>
          <w:sz w:val="27"/>
        </w:rPr>
        <w:t>2  Terms, definitions and normative references</w:t>
      </w:r>
    </w:p>
    <w:p>
      <w:pPr>
        <w:pStyle w:val="ListBullet"/>
        <w:spacing w:after="60"/>
      </w:pPr>
      <w:r>
        <w:rPr>
          <w:rFonts w:ascii="Calibri" w:hAnsi="Calibri" w:eastAsia="Calibri"/>
          <w:color w:val="14202E"/>
          <w:sz w:val="21"/>
        </w:rPr>
        <w:t>ISO/IEC 17025:2017 — General requirements for the competence of testing and calibration laboratories.</w:t>
      </w:r>
    </w:p>
    <w:p>
      <w:pPr>
        <w:pStyle w:val="ListBullet"/>
        <w:spacing w:after="60"/>
      </w:pPr>
      <w:r>
        <w:rPr>
          <w:rFonts w:ascii="Calibri" w:hAnsi="Calibri" w:eastAsia="Calibri"/>
          <w:color w:val="14202E"/>
          <w:sz w:val="21"/>
        </w:rPr>
        <w:t>ISO/IEC Guide 99 (VIM) — International vocabulary of metrology.</w:t>
      </w:r>
    </w:p>
    <w:p>
      <w:pPr>
        <w:pStyle w:val="ListBullet"/>
        <w:spacing w:after="60"/>
      </w:pPr>
      <w:r>
        <w:rPr>
          <w:rFonts w:ascii="Calibri" w:hAnsi="Calibri" w:eastAsia="Calibri"/>
          <w:color w:val="14202E"/>
          <w:sz w:val="21"/>
        </w:rPr>
        <w:t>ISO 9000:2015 — Quality management systems: fundamentals and vocabulary.</w:t>
      </w:r>
    </w:p>
    <w:p>
      <w:pPr>
        <w:pStyle w:val="ListBullet"/>
        <w:spacing w:after="60"/>
      </w:pPr>
      <w:r>
        <w:rPr>
          <w:rFonts w:ascii="Calibri" w:hAnsi="Calibri" w:eastAsia="Calibri"/>
          <w:color w:val="14202E"/>
          <w:sz w:val="21"/>
        </w:rPr>
        <w:t>ISO/IEC 17000:2020 — Conformity assessment: vocabulary and general principles.</w:t>
      </w:r>
    </w:p>
    <w:p>
      <w:pPr>
        <w:spacing w:before="280" w:after="100"/>
        <w:pBdr>
          <w:bottom w:val="single" w:sz="6" w:space="6" w:color="0F2A4A"/>
        </w:pBdr>
      </w:pPr>
      <w:r>
        <w:rPr>
          <w:rFonts w:ascii="Calibri" w:hAnsi="Calibri" w:eastAsia="Calibri"/>
          <w:b/>
          <w:color w:val="0F2A4A"/>
          <w:sz w:val="27"/>
        </w:rPr>
        <w:t>3  Clause map — how the manual answers §4–§8</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936"/>
            <w:shd w:val="clear" w:color="auto" w:fill="0F2A4A"/>
          </w:tcPr>
          <w:p>
            <w:pPr>
              <w:spacing w:after="0"/>
            </w:pPr>
            <w:r/>
            <w:r>
              <w:rPr>
                <w:rFonts w:ascii="Calibri" w:hAnsi="Calibri" w:eastAsia="Calibri"/>
                <w:b/>
                <w:color w:val="FFFFFF"/>
                <w:sz w:val="18"/>
              </w:rPr>
              <w:t>Clause</w:t>
            </w:r>
          </w:p>
        </w:tc>
        <w:tc>
          <w:tcPr>
            <w:tcW w:type="dxa" w:w="2232"/>
            <w:shd w:val="clear" w:color="auto" w:fill="0F2A4A"/>
          </w:tcPr>
          <w:p>
            <w:pPr>
              <w:spacing w:after="0"/>
            </w:pPr>
            <w:r/>
            <w:r>
              <w:rPr>
                <w:rFonts w:ascii="Calibri" w:hAnsi="Calibri" w:eastAsia="Calibri"/>
                <w:b/>
                <w:color w:val="FFFFFF"/>
                <w:sz w:val="18"/>
              </w:rPr>
              <w:t>Requirement area</w:t>
            </w:r>
          </w:p>
        </w:tc>
        <w:tc>
          <w:tcPr>
            <w:tcW w:type="dxa" w:w="3600"/>
            <w:shd w:val="clear" w:color="auto" w:fill="0F2A4A"/>
          </w:tcPr>
          <w:p>
            <w:pPr>
              <w:spacing w:after="0"/>
            </w:pPr>
            <w:r/>
            <w:r>
              <w:rPr>
                <w:rFonts w:ascii="Calibri" w:hAnsi="Calibri" w:eastAsia="Calibri"/>
                <w:b/>
                <w:color w:val="FFFFFF"/>
                <w:sz w:val="18"/>
              </w:rPr>
              <w:t>Manual response</w:t>
            </w:r>
          </w:p>
        </w:tc>
        <w:tc>
          <w:tcPr>
            <w:tcW w:type="dxa" w:w="1440"/>
            <w:shd w:val="clear" w:color="auto" w:fill="0F2A4A"/>
          </w:tcPr>
          <w:p>
            <w:pPr>
              <w:spacing w:after="0"/>
            </w:pPr>
            <w:r/>
            <w:r>
              <w:rPr>
                <w:rFonts w:ascii="Calibri" w:hAnsi="Calibri" w:eastAsia="Calibri"/>
                <w:b/>
                <w:color w:val="FFFFFF"/>
                <w:sz w:val="18"/>
              </w:rPr>
              <w:t>Carried by tier</w:t>
            </w:r>
          </w:p>
        </w:tc>
        <w:tc>
          <w:tcPr>
            <w:tcW w:type="dxa" w:w="1224"/>
            <w:shd w:val="clear" w:color="auto" w:fill="0F2A4A"/>
          </w:tcPr>
          <w:p>
            <w:pPr>
              <w:spacing w:after="0"/>
            </w:pPr>
            <w:r/>
            <w:r>
              <w:rPr>
                <w:rFonts w:ascii="Calibri" w:hAnsi="Calibri" w:eastAsia="Calibri"/>
                <w:b/>
                <w:color w:val="FFFFFF"/>
                <w:sz w:val="18"/>
              </w:rPr>
              <w:t>Linked record</w:t>
            </w:r>
          </w:p>
        </w:tc>
      </w:tr>
      <w:tr>
        <w:tc>
          <w:tcPr>
            <w:tcW w:type="dxa" w:w="936"/>
          </w:tcPr>
          <w:p>
            <w:pPr>
              <w:spacing w:after="0"/>
            </w:pPr>
            <w:r/>
            <w:r>
              <w:rPr>
                <w:rFonts w:ascii="Calibri" w:hAnsi="Calibri" w:eastAsia="Calibri"/>
                <w:color w:val="14202E"/>
                <w:sz w:val="18"/>
              </w:rPr>
              <w:t>§4</w:t>
            </w:r>
          </w:p>
        </w:tc>
        <w:tc>
          <w:tcPr>
            <w:tcW w:type="dxa" w:w="2232"/>
          </w:tcPr>
          <w:p>
            <w:pPr>
              <w:spacing w:after="0"/>
            </w:pPr>
            <w:r/>
            <w:r>
              <w:rPr>
                <w:rFonts w:ascii="Calibri" w:hAnsi="Calibri" w:eastAsia="Calibri"/>
                <w:color w:val="14202E"/>
                <w:sz w:val="18"/>
              </w:rPr>
              <w:t>General requirements</w:t>
            </w:r>
          </w:p>
        </w:tc>
        <w:tc>
          <w:tcPr>
            <w:tcW w:type="dxa" w:w="3600"/>
          </w:tcPr>
          <w:p>
            <w:pPr>
              <w:spacing w:after="0"/>
            </w:pPr>
            <w:r/>
            <w:r>
              <w:rPr>
                <w:rFonts w:ascii="Calibri" w:hAnsi="Calibri" w:eastAsia="Calibri"/>
                <w:color w:val="14202E"/>
                <w:sz w:val="18"/>
              </w:rPr>
              <w:t>Impartiality and confidentiality as standing policies</w:t>
            </w:r>
          </w:p>
        </w:tc>
        <w:tc>
          <w:tcPr>
            <w:tcW w:type="dxa" w:w="1440"/>
          </w:tcPr>
          <w:p>
            <w:pPr>
              <w:spacing w:after="0"/>
            </w:pPr>
            <w:r/>
            <w:r>
              <w:rPr>
                <w:rFonts w:ascii="Calibri" w:hAnsi="Calibri" w:eastAsia="Calibri"/>
                <w:color w:val="14202E"/>
                <w:sz w:val="18"/>
              </w:rPr>
              <w:t>QM → LP</w:t>
            </w:r>
          </w:p>
        </w:tc>
        <w:tc>
          <w:tcPr>
            <w:tcW w:type="dxa" w:w="1224"/>
          </w:tcPr>
          <w:p>
            <w:pPr>
              <w:spacing w:after="0"/>
            </w:pPr>
            <w:r/>
            <w:r>
              <w:rPr>
                <w:rFonts w:ascii="Calibri" w:hAnsi="Calibri" w:eastAsia="Calibri"/>
                <w:color w:val="14202E"/>
                <w:sz w:val="18"/>
              </w:rPr>
              <w:t>FR-02</w:t>
            </w:r>
          </w:p>
        </w:tc>
      </w:tr>
      <w:tr>
        <w:tc>
          <w:tcPr>
            <w:tcW w:type="dxa" w:w="936"/>
            <w:shd w:val="clear" w:color="auto" w:fill="F3F7FC"/>
          </w:tcPr>
          <w:p>
            <w:pPr>
              <w:spacing w:after="0"/>
            </w:pPr>
            <w:r/>
            <w:r>
              <w:rPr>
                <w:rFonts w:ascii="Calibri" w:hAnsi="Calibri" w:eastAsia="Calibri"/>
                <w:color w:val="14202E"/>
                <w:sz w:val="18"/>
              </w:rPr>
              <w:t>§5</w:t>
            </w:r>
          </w:p>
        </w:tc>
        <w:tc>
          <w:tcPr>
            <w:tcW w:type="dxa" w:w="2232"/>
            <w:shd w:val="clear" w:color="auto" w:fill="F3F7FC"/>
          </w:tcPr>
          <w:p>
            <w:pPr>
              <w:spacing w:after="0"/>
            </w:pPr>
            <w:r/>
            <w:r>
              <w:rPr>
                <w:rFonts w:ascii="Calibri" w:hAnsi="Calibri" w:eastAsia="Calibri"/>
                <w:color w:val="14202E"/>
                <w:sz w:val="18"/>
              </w:rPr>
              <w:t>Structural requirements</w:t>
            </w:r>
          </w:p>
        </w:tc>
        <w:tc>
          <w:tcPr>
            <w:tcW w:type="dxa" w:w="3600"/>
            <w:shd w:val="clear" w:color="auto" w:fill="F3F7FC"/>
          </w:tcPr>
          <w:p>
            <w:pPr>
              <w:spacing w:after="0"/>
            </w:pPr>
            <w:r/>
            <w:r>
              <w:rPr>
                <w:rFonts w:ascii="Calibri" w:hAnsi="Calibri" w:eastAsia="Calibri"/>
                <w:color w:val="14202E"/>
                <w:sz w:val="18"/>
              </w:rPr>
              <w:t>Legal identity, organisation, responsibility matrix</w:t>
            </w:r>
          </w:p>
        </w:tc>
        <w:tc>
          <w:tcPr>
            <w:tcW w:type="dxa" w:w="1440"/>
            <w:shd w:val="clear" w:color="auto" w:fill="F3F7FC"/>
          </w:tcPr>
          <w:p>
            <w:pPr>
              <w:spacing w:after="0"/>
            </w:pPr>
            <w:r/>
            <w:r>
              <w:rPr>
                <w:rFonts w:ascii="Calibri" w:hAnsi="Calibri" w:eastAsia="Calibri"/>
                <w:color w:val="14202E"/>
                <w:sz w:val="18"/>
              </w:rPr>
              <w:t>QM → WI</w:t>
            </w:r>
          </w:p>
        </w:tc>
        <w:tc>
          <w:tcPr>
            <w:tcW w:type="dxa" w:w="1224"/>
            <w:shd w:val="clear" w:color="auto" w:fill="F3F7FC"/>
          </w:tcPr>
          <w:p>
            <w:pPr>
              <w:spacing w:after="0"/>
            </w:pPr>
            <w:r/>
            <w:r>
              <w:rPr>
                <w:rFonts w:ascii="Calibri" w:hAnsi="Calibri" w:eastAsia="Calibri"/>
                <w:color w:val="14202E"/>
                <w:sz w:val="18"/>
              </w:rPr>
              <w:t>FR-04</w:t>
            </w:r>
          </w:p>
        </w:tc>
      </w:tr>
      <w:tr>
        <w:tc>
          <w:tcPr>
            <w:tcW w:type="dxa" w:w="936"/>
          </w:tcPr>
          <w:p>
            <w:pPr>
              <w:spacing w:after="0"/>
            </w:pPr>
            <w:r/>
            <w:r>
              <w:rPr>
                <w:rFonts w:ascii="Calibri" w:hAnsi="Calibri" w:eastAsia="Calibri"/>
                <w:color w:val="14202E"/>
                <w:sz w:val="18"/>
              </w:rPr>
              <w:t>§6</w:t>
            </w:r>
          </w:p>
        </w:tc>
        <w:tc>
          <w:tcPr>
            <w:tcW w:type="dxa" w:w="2232"/>
          </w:tcPr>
          <w:p>
            <w:pPr>
              <w:spacing w:after="0"/>
            </w:pPr>
            <w:r/>
            <w:r>
              <w:rPr>
                <w:rFonts w:ascii="Calibri" w:hAnsi="Calibri" w:eastAsia="Calibri"/>
                <w:color w:val="14202E"/>
                <w:sz w:val="18"/>
              </w:rPr>
              <w:t>Resource requirements</w:t>
            </w:r>
          </w:p>
        </w:tc>
        <w:tc>
          <w:tcPr>
            <w:tcW w:type="dxa" w:w="3600"/>
          </w:tcPr>
          <w:p>
            <w:pPr>
              <w:spacing w:after="0"/>
            </w:pPr>
            <w:r/>
            <w:r>
              <w:rPr>
                <w:rFonts w:ascii="Calibri" w:hAnsi="Calibri" w:eastAsia="Calibri"/>
                <w:color w:val="14202E"/>
                <w:sz w:val="18"/>
              </w:rPr>
              <w:t>Personnel, facilities, equipment, traceability</w:t>
            </w:r>
          </w:p>
        </w:tc>
        <w:tc>
          <w:tcPr>
            <w:tcW w:type="dxa" w:w="1440"/>
          </w:tcPr>
          <w:p>
            <w:pPr>
              <w:spacing w:after="0"/>
            </w:pPr>
            <w:r/>
            <w:r>
              <w:rPr>
                <w:rFonts w:ascii="Calibri" w:hAnsi="Calibri" w:eastAsia="Calibri"/>
                <w:color w:val="14202E"/>
                <w:sz w:val="18"/>
              </w:rPr>
              <w:t>QM → WI</w:t>
            </w:r>
          </w:p>
        </w:tc>
        <w:tc>
          <w:tcPr>
            <w:tcW w:type="dxa" w:w="1224"/>
          </w:tcPr>
          <w:p>
            <w:pPr>
              <w:spacing w:after="0"/>
            </w:pPr>
            <w:r/>
            <w:r>
              <w:rPr>
                <w:rFonts w:ascii="Calibri" w:hAnsi="Calibri" w:eastAsia="Calibri"/>
                <w:color w:val="14202E"/>
                <w:sz w:val="18"/>
              </w:rPr>
              <w:t>FR-09</w:t>
            </w:r>
          </w:p>
        </w:tc>
      </w:tr>
      <w:tr>
        <w:tc>
          <w:tcPr>
            <w:tcW w:type="dxa" w:w="936"/>
            <w:shd w:val="clear" w:color="auto" w:fill="F3F7FC"/>
          </w:tcPr>
          <w:p>
            <w:pPr>
              <w:spacing w:after="0"/>
            </w:pPr>
            <w:r/>
            <w:r>
              <w:rPr>
                <w:rFonts w:ascii="Calibri" w:hAnsi="Calibri" w:eastAsia="Calibri"/>
                <w:color w:val="14202E"/>
                <w:sz w:val="18"/>
              </w:rPr>
              <w:t>§7</w:t>
            </w:r>
          </w:p>
        </w:tc>
        <w:tc>
          <w:tcPr>
            <w:tcW w:type="dxa" w:w="2232"/>
            <w:shd w:val="clear" w:color="auto" w:fill="F3F7FC"/>
          </w:tcPr>
          <w:p>
            <w:pPr>
              <w:spacing w:after="0"/>
            </w:pPr>
            <w:r/>
            <w:r>
              <w:rPr>
                <w:rFonts w:ascii="Calibri" w:hAnsi="Calibri" w:eastAsia="Calibri"/>
                <w:color w:val="14202E"/>
                <w:sz w:val="18"/>
              </w:rPr>
              <w:t>Process requirements</w:t>
            </w:r>
          </w:p>
        </w:tc>
        <w:tc>
          <w:tcPr>
            <w:tcW w:type="dxa" w:w="3600"/>
            <w:shd w:val="clear" w:color="auto" w:fill="F3F7FC"/>
          </w:tcPr>
          <w:p>
            <w:pPr>
              <w:spacing w:after="0"/>
            </w:pPr>
            <w:r/>
            <w:r>
              <w:rPr>
                <w:rFonts w:ascii="Calibri" w:hAnsi="Calibri" w:eastAsia="Calibri"/>
                <w:color w:val="14202E"/>
                <w:sz w:val="18"/>
              </w:rPr>
              <w:t>Request review, methods, sampling, reporting, complaints</w:t>
            </w:r>
          </w:p>
        </w:tc>
        <w:tc>
          <w:tcPr>
            <w:tcW w:type="dxa" w:w="1440"/>
            <w:shd w:val="clear" w:color="auto" w:fill="F3F7FC"/>
          </w:tcPr>
          <w:p>
            <w:pPr>
              <w:spacing w:after="0"/>
            </w:pPr>
            <w:r/>
            <w:r>
              <w:rPr>
                <w:rFonts w:ascii="Calibri" w:hAnsi="Calibri" w:eastAsia="Calibri"/>
                <w:color w:val="14202E"/>
                <w:sz w:val="18"/>
              </w:rPr>
              <w:t>QM → LP</w:t>
            </w:r>
          </w:p>
        </w:tc>
        <w:tc>
          <w:tcPr>
            <w:tcW w:type="dxa" w:w="1224"/>
            <w:shd w:val="clear" w:color="auto" w:fill="F3F7FC"/>
          </w:tcPr>
          <w:p>
            <w:pPr>
              <w:spacing w:after="0"/>
            </w:pPr>
            <w:r/>
            <w:r>
              <w:rPr>
                <w:rFonts w:ascii="Calibri" w:hAnsi="Calibri" w:eastAsia="Calibri"/>
                <w:color w:val="14202E"/>
                <w:sz w:val="18"/>
              </w:rPr>
              <w:t>FR-13</w:t>
            </w:r>
          </w:p>
        </w:tc>
      </w:tr>
      <w:tr>
        <w:tc>
          <w:tcPr>
            <w:tcW w:type="dxa" w:w="936"/>
          </w:tcPr>
          <w:p>
            <w:pPr>
              <w:spacing w:after="0"/>
            </w:pPr>
            <w:r/>
            <w:r>
              <w:rPr>
                <w:rFonts w:ascii="Calibri" w:hAnsi="Calibri" w:eastAsia="Calibri"/>
                <w:color w:val="14202E"/>
                <w:sz w:val="18"/>
              </w:rPr>
              <w:t>§8</w:t>
            </w:r>
          </w:p>
        </w:tc>
        <w:tc>
          <w:tcPr>
            <w:tcW w:type="dxa" w:w="2232"/>
          </w:tcPr>
          <w:p>
            <w:pPr>
              <w:spacing w:after="0"/>
            </w:pPr>
            <w:r/>
            <w:r>
              <w:rPr>
                <w:rFonts w:ascii="Calibri" w:hAnsi="Calibri" w:eastAsia="Calibri"/>
                <w:color w:val="14202E"/>
                <w:sz w:val="18"/>
              </w:rPr>
              <w:t>Management system</w:t>
            </w:r>
          </w:p>
        </w:tc>
        <w:tc>
          <w:tcPr>
            <w:tcW w:type="dxa" w:w="3600"/>
          </w:tcPr>
          <w:p>
            <w:pPr>
              <w:spacing w:after="0"/>
            </w:pPr>
            <w:r/>
            <w:r>
              <w:rPr>
                <w:rFonts w:ascii="Calibri" w:hAnsi="Calibri" w:eastAsia="Calibri"/>
                <w:color w:val="14202E"/>
                <w:sz w:val="18"/>
              </w:rPr>
              <w:t>Documents, risks, audits, reviews, corrective action</w:t>
            </w:r>
          </w:p>
        </w:tc>
        <w:tc>
          <w:tcPr>
            <w:tcW w:type="dxa" w:w="1440"/>
          </w:tcPr>
          <w:p>
            <w:pPr>
              <w:spacing w:after="0"/>
            </w:pPr>
            <w:r/>
            <w:r>
              <w:rPr>
                <w:rFonts w:ascii="Calibri" w:hAnsi="Calibri" w:eastAsia="Calibri"/>
                <w:color w:val="14202E"/>
                <w:sz w:val="18"/>
              </w:rPr>
              <w:t>QM → LP</w:t>
            </w:r>
          </w:p>
        </w:tc>
        <w:tc>
          <w:tcPr>
            <w:tcW w:type="dxa" w:w="1224"/>
          </w:tcPr>
          <w:p>
            <w:pPr>
              <w:spacing w:after="0"/>
            </w:pPr>
            <w:r/>
            <w:r>
              <w:rPr>
                <w:rFonts w:ascii="Calibri" w:hAnsi="Calibri" w:eastAsia="Calibri"/>
                <w:color w:val="14202E"/>
                <w:sz w:val="18"/>
              </w:rPr>
              <w:t>FR-21</w:t>
            </w:r>
          </w:p>
        </w:tc>
      </w:tr>
    </w:tbl>
    <w:p>
      <w:pPr>
        <w:spacing w:before="280" w:after="100"/>
        <w:pBdr>
          <w:bottom w:val="single" w:sz="6" w:space="6" w:color="0F2A4A"/>
        </w:pBdr>
      </w:pPr>
      <w:r>
        <w:rPr>
          <w:rFonts w:ascii="Calibri" w:hAnsi="Calibri" w:eastAsia="Calibri"/>
          <w:b/>
          <w:color w:val="0F2A4A"/>
          <w:sz w:val="27"/>
        </w:rPr>
        <w:t>4  Clause detail (excerpt — full version expands every clause)</w:t>
      </w:r>
    </w:p>
    <w:p>
      <w:pPr>
        <w:spacing w:before="180" w:after="60"/>
      </w:pPr>
      <w:r>
        <w:rPr>
          <w:rFonts w:ascii="Calibri" w:hAnsi="Calibri" w:eastAsia="Calibri"/>
          <w:b/>
          <w:color w:val="1F6FEB"/>
          <w:sz w:val="22"/>
        </w:rPr>
        <w:t>4.1  Impartiality (§4.1)</w:t>
      </w:r>
    </w:p>
    <w:p>
      <w:pPr>
        <w:spacing w:after="100" w:line="269" w:lineRule="auto"/>
      </w:pPr>
      <w:r>
        <w:rPr>
          <w:rFonts w:ascii="Calibri" w:hAnsi="Calibri" w:eastAsia="Calibri"/>
          <w:b w:val="0"/>
          <w:i w:val="0"/>
          <w:color w:val="14202E"/>
          <w:sz w:val="21"/>
        </w:rPr>
        <w:t>The laboratory performs its activities impartially, is structured and managed so that impartiality is safeguarded, and is responsible for the impartiality of all laboratory activities. Top management demonstrates commitment to impartiality and does not allow commercial, financial or other pressures to compromise it. Risks to impartiality — including those arising from its activities, relationships or personnel — are identified on an ongoing basis and reviewed at planned intervals, with the actions taken recorded.</w:t>
      </w:r>
    </w:p>
    <w:p>
      <w:pPr>
        <w:spacing w:before="180" w:after="60"/>
      </w:pPr>
      <w:r>
        <w:rPr>
          <w:rFonts w:ascii="Calibri" w:hAnsi="Calibri" w:eastAsia="Calibri"/>
          <w:b/>
          <w:color w:val="1F6FEB"/>
          <w:sz w:val="22"/>
        </w:rPr>
        <w:t>4.2  Confidentiality (§4.2)</w:t>
      </w:r>
    </w:p>
    <w:p>
      <w:pPr>
        <w:spacing w:after="100" w:line="269" w:lineRule="auto"/>
      </w:pPr>
      <w:r>
        <w:rPr>
          <w:rFonts w:ascii="Calibri" w:hAnsi="Calibri" w:eastAsia="Calibri"/>
          <w:b w:val="0"/>
          <w:i w:val="0"/>
          <w:color w:val="14202E"/>
          <w:sz w:val="21"/>
        </w:rPr>
        <w:t>The laboratory is responsible for managing all information obtained or created during its activities, and informs the customer in advance of any information it intends to place in the public domain. Information is released to a third party only where the customer has given consent, except where required by law. Personnel keep customer information confidential and sign a standing confidentiality commitment.</w:t>
      </w:r>
    </w:p>
    <w:p>
      <w:pPr>
        <w:spacing w:before="180" w:after="60"/>
      </w:pPr>
      <w:r>
        <w:rPr>
          <w:rFonts w:ascii="Calibri" w:hAnsi="Calibri" w:eastAsia="Calibri"/>
          <w:b/>
          <w:color w:val="1F6FEB"/>
          <w:sz w:val="22"/>
        </w:rPr>
        <w:t>4.3  Personnel competence and authorisation (§6.2)</w:t>
      </w:r>
    </w:p>
    <w:p>
      <w:pPr>
        <w:spacing w:after="100" w:line="269" w:lineRule="auto"/>
      </w:pPr>
      <w:r>
        <w:rPr>
          <w:rFonts w:ascii="Calibri" w:hAnsi="Calibri" w:eastAsia="Calibri"/>
          <w:b w:val="0"/>
          <w:i w:val="0"/>
          <w:color w:val="14202E"/>
          <w:sz w:val="21"/>
        </w:rPr>
        <w:t>The laboratory determines the competence requirements for each function influencing the validity of results, selects and trains personnel, and authorises them to perform activities only where they meet those requirements. Competence is monitored against defined criteria and records of education, qualifications, training, skills and experience are maintained. Where a person’s competence is demonstrated only on the job, the monitoring itself is recorded.</w:t>
      </w:r>
    </w:p>
    <w:p>
      <w:pPr>
        <w:spacing w:before="180" w:after="60"/>
      </w:pPr>
      <w:r>
        <w:rPr>
          <w:rFonts w:ascii="Calibri" w:hAnsi="Calibri" w:eastAsia="Calibri"/>
          <w:b/>
          <w:color w:val="1F6FEB"/>
          <w:sz w:val="22"/>
        </w:rPr>
        <w:t>4.4  Metrological traceability (§6.5)</w:t>
      </w:r>
    </w:p>
    <w:p>
      <w:pPr>
        <w:spacing w:after="100" w:line="269" w:lineRule="auto"/>
      </w:pPr>
      <w:r>
        <w:rPr>
          <w:rFonts w:ascii="Calibri" w:hAnsi="Calibri" w:eastAsia="Calibri"/>
          <w:b w:val="0"/>
          <w:i w:val="0"/>
          <w:color w:val="14202E"/>
          <w:sz w:val="21"/>
        </w:rPr>
        <w:t>Measurement results are traceable to the SI through an unbroken chain of calibrations, each contributing to the measurement uncertainty. The laboratory keeps documented evidence of traceability — calibration certificates from an accredited calibration provider, reference material certificates, and the contribution each link makes to the reported uncertainty — and treats shortcuts in this chain as a reportable deviation.</w:t>
      </w:r>
    </w:p>
    <w:p>
      <w:pPr>
        <w:spacing w:before="180" w:after="60"/>
      </w:pPr>
      <w:r>
        <w:rPr>
          <w:rFonts w:ascii="Calibri" w:hAnsi="Calibri" w:eastAsia="Calibri"/>
          <w:b/>
          <w:color w:val="1F6FEB"/>
          <w:sz w:val="22"/>
        </w:rPr>
        <w:t>4.5  Review of requests, tenders and contracts (§7.1)</w:t>
      </w:r>
    </w:p>
    <w:p>
      <w:pPr>
        <w:spacing w:after="100" w:line="269" w:lineRule="auto"/>
      </w:pPr>
      <w:r>
        <w:rPr>
          <w:rFonts w:ascii="Calibri" w:hAnsi="Calibri" w:eastAsia="Calibri"/>
          <w:b w:val="0"/>
          <w:i w:val="0"/>
          <w:color w:val="14202E"/>
          <w:sz w:val="21"/>
        </w:rPr>
        <w:t>The laboratory establishes and applies a procedure for reviewing requests, tenders and contracts to confirm that the requirements are adequately defined, documented and understood; that it has the capability and resources to meet them; and that the appropriate method is selected and capable of meeting customer requirements. Where the customer’s request is not stated in an unambiguous way, the laboratory confirms the requirement before work begins, and records the outcome of the review.</w:t>
      </w:r>
    </w:p>
    <w:p>
      <w:pPr>
        <w:spacing w:before="180" w:after="60"/>
      </w:pPr>
      <w:r>
        <w:rPr>
          <w:rFonts w:ascii="Calibri" w:hAnsi="Calibri" w:eastAsia="Calibri"/>
          <w:b/>
          <w:color w:val="1F6FEB"/>
          <w:sz w:val="22"/>
        </w:rPr>
        <w:t>4.6  Ensuring the validity of results (§7.7)</w:t>
      </w:r>
    </w:p>
    <w:p>
      <w:pPr>
        <w:spacing w:after="100" w:line="269" w:lineRule="auto"/>
      </w:pPr>
      <w:r>
        <w:rPr>
          <w:rFonts w:ascii="Calibri" w:hAnsi="Calibri" w:eastAsia="Calibri"/>
          <w:b w:val="0"/>
          <w:i w:val="0"/>
          <w:color w:val="14202E"/>
          <w:sz w:val="21"/>
        </w:rPr>
        <w:t>The laboratory monitors the validity of its results against defined criteria, using a documented plan that, as applicable, covers internal quality control checks, participation in interlaboratory comparisons or proficiency-testing programmes, replicate tests or calibrations, and the review of results by authorised personnel. Trends in the data are analysed and acted upon, not merely collected.</w:t>
      </w:r>
    </w:p>
    <w:p>
      <w:pPr>
        <w:spacing w:before="180" w:after="60"/>
      </w:pPr>
      <w:r>
        <w:rPr>
          <w:rFonts w:ascii="Calibri" w:hAnsi="Calibri" w:eastAsia="Calibri"/>
          <w:b/>
          <w:color w:val="1F6FEB"/>
          <w:sz w:val="22"/>
        </w:rPr>
        <w:t>4.7  Actions to address risks and opportunities (§8.5)</w:t>
      </w:r>
    </w:p>
    <w:p>
      <w:pPr>
        <w:spacing w:after="100" w:line="269" w:lineRule="auto"/>
      </w:pPr>
      <w:r>
        <w:rPr>
          <w:rFonts w:ascii="Calibri" w:hAnsi="Calibri" w:eastAsia="Calibri"/>
          <w:b w:val="0"/>
          <w:i w:val="0"/>
          <w:color w:val="14202E"/>
          <w:sz w:val="21"/>
        </w:rPr>
        <w:t>The laboratory identifies, documents and manages risks and opportunities associated with its activities, takes action proportionate to the impact on the validity of results, and evaluates the effectiveness of the actions taken. Risk management is embedded in the processes it affects rather than kept as a standalone register.</w:t>
      </w:r>
    </w:p>
    <w:p>
      <w:pPr>
        <w:spacing w:before="180" w:after="60"/>
      </w:pPr>
      <w:r>
        <w:rPr>
          <w:rFonts w:ascii="Calibri" w:hAnsi="Calibri" w:eastAsia="Calibri"/>
          <w:b/>
          <w:color w:val="1F6FEB"/>
          <w:sz w:val="22"/>
        </w:rPr>
        <w:t>4.8  Internal audit and management review (§8.8 / §8.9)</w:t>
      </w:r>
    </w:p>
    <w:p>
      <w:pPr>
        <w:spacing w:after="100" w:line="269" w:lineRule="auto"/>
      </w:pPr>
      <w:r>
        <w:rPr>
          <w:rFonts w:ascii="Calibri" w:hAnsi="Calibri" w:eastAsia="Calibri"/>
          <w:b w:val="0"/>
          <w:i w:val="0"/>
          <w:color w:val="14202E"/>
          <w:sz w:val="21"/>
        </w:rPr>
        <w:t>The laboratory conducts internal audits at planned intervals against its own requirements and those of ISO/IEC 17025:2017. Audits are performed by trained personnel who are, wherever resources permit, independent of the activity being audited. Findings are recorded and the implementation and effectiveness of corrections and corrective actions are verified. Top management reviews the management system at planned intervals, considering recorded inputs and producing decisions and actions on improvements, resources and changes.</w:t>
      </w:r>
    </w:p>
    <w:p>
      <w:pPr>
        <w:spacing w:before="280" w:after="100"/>
        <w:pBdr>
          <w:bottom w:val="single" w:sz="6" w:space="6" w:color="0F2A4A"/>
        </w:pBdr>
      </w:pPr>
      <w:r>
        <w:rPr>
          <w:rFonts w:ascii="Calibri" w:hAnsi="Calibri" w:eastAsia="Calibri"/>
          <w:b/>
          <w:color w:val="0F2A4A"/>
          <w:sz w:val="27"/>
        </w:rPr>
        <w:t>5  Documented system index (sample)</w:t>
      </w:r>
    </w:p>
    <w:tbl>
      <w:tblPr>
        <w:tblStyle w:val="TableGrid"/>
        <w:tblW w:type="auto" w:w="0"/>
        <w:jc w:val="center"/>
        <w:tblLook w:firstColumn="1" w:firstRow="1" w:lastColumn="0" w:lastRow="0" w:noHBand="0" w:noVBand="1" w:val="04A0"/>
      </w:tblPr>
      <w:tblGrid>
        <w:gridCol w:w="3216"/>
        <w:gridCol w:w="3216"/>
        <w:gridCol w:w="3216"/>
      </w:tblGrid>
      <w:tr>
        <w:tc>
          <w:tcPr>
            <w:tcW w:type="dxa" w:w="1008"/>
            <w:shd w:val="clear" w:color="auto" w:fill="0F2A4A"/>
          </w:tcPr>
          <w:p>
            <w:pPr>
              <w:spacing w:after="0"/>
            </w:pPr>
            <w:r/>
            <w:r>
              <w:rPr>
                <w:rFonts w:ascii="Calibri" w:hAnsi="Calibri" w:eastAsia="Calibri"/>
                <w:b/>
                <w:color w:val="FFFFFF"/>
                <w:sz w:val="18"/>
              </w:rPr>
              <w:t>Tier</w:t>
            </w:r>
          </w:p>
        </w:tc>
        <w:tc>
          <w:tcPr>
            <w:tcW w:type="dxa" w:w="6048"/>
            <w:shd w:val="clear" w:color="auto" w:fill="0F2A4A"/>
          </w:tcPr>
          <w:p>
            <w:pPr>
              <w:spacing w:after="0"/>
            </w:pPr>
            <w:r/>
            <w:r>
              <w:rPr>
                <w:rFonts w:ascii="Calibri" w:hAnsi="Calibri" w:eastAsia="Calibri"/>
                <w:b/>
                <w:color w:val="FFFFFF"/>
                <w:sz w:val="18"/>
              </w:rPr>
              <w:t>Typical documents in this sample system</w:t>
            </w:r>
          </w:p>
        </w:tc>
        <w:tc>
          <w:tcPr>
            <w:tcW w:type="dxa" w:w="1584"/>
            <w:shd w:val="clear" w:color="auto" w:fill="0F2A4A"/>
          </w:tcPr>
          <w:p>
            <w:pPr>
              <w:spacing w:after="0"/>
            </w:pPr>
            <w:r/>
            <w:r>
              <w:rPr>
                <w:rFonts w:ascii="Calibri" w:hAnsi="Calibri" w:eastAsia="Calibri"/>
                <w:b/>
                <w:color w:val="FFFFFF"/>
                <w:sz w:val="18"/>
              </w:rPr>
              <w:t>Control</w:t>
            </w:r>
          </w:p>
        </w:tc>
      </w:tr>
      <w:tr>
        <w:tc>
          <w:tcPr>
            <w:tcW w:type="dxa" w:w="1008"/>
          </w:tcPr>
          <w:p>
            <w:pPr>
              <w:spacing w:after="0"/>
            </w:pPr>
            <w:r/>
            <w:r>
              <w:rPr>
                <w:rFonts w:ascii="Calibri" w:hAnsi="Calibri" w:eastAsia="Calibri"/>
                <w:color w:val="14202E"/>
                <w:sz w:val="18"/>
              </w:rPr>
              <w:t>QM</w:t>
            </w:r>
          </w:p>
        </w:tc>
        <w:tc>
          <w:tcPr>
            <w:tcW w:type="dxa" w:w="6048"/>
          </w:tcPr>
          <w:p>
            <w:pPr>
              <w:spacing w:after="0"/>
            </w:pPr>
            <w:r/>
            <w:r>
              <w:rPr>
                <w:rFonts w:ascii="Calibri" w:hAnsi="Calibri" w:eastAsia="Calibri"/>
                <w:color w:val="14202E"/>
                <w:sz w:val="18"/>
              </w:rPr>
              <w:t>Quality Manual · scope statement · policy set</w:t>
            </w:r>
          </w:p>
        </w:tc>
        <w:tc>
          <w:tcPr>
            <w:tcW w:type="dxa" w:w="1584"/>
          </w:tcPr>
          <w:p>
            <w:pPr>
              <w:spacing w:after="0"/>
            </w:pPr>
            <w:r/>
            <w:r>
              <w:rPr>
                <w:rFonts w:ascii="Calibri" w:hAnsi="Calibri" w:eastAsia="Calibri"/>
                <w:color w:val="14202E"/>
                <w:sz w:val="18"/>
              </w:rPr>
              <w:t>Annual review</w:t>
            </w:r>
          </w:p>
        </w:tc>
      </w:tr>
      <w:tr>
        <w:tc>
          <w:tcPr>
            <w:tcW w:type="dxa" w:w="1008"/>
            <w:shd w:val="clear" w:color="auto" w:fill="F3F7FC"/>
          </w:tcPr>
          <w:p>
            <w:pPr>
              <w:spacing w:after="0"/>
            </w:pPr>
            <w:r/>
            <w:r>
              <w:rPr>
                <w:rFonts w:ascii="Calibri" w:hAnsi="Calibri" w:eastAsia="Calibri"/>
                <w:color w:val="14202E"/>
                <w:sz w:val="18"/>
              </w:rPr>
              <w:t>LP</w:t>
            </w:r>
          </w:p>
        </w:tc>
        <w:tc>
          <w:tcPr>
            <w:tcW w:type="dxa" w:w="6048"/>
            <w:shd w:val="clear" w:color="auto" w:fill="F3F7FC"/>
          </w:tcPr>
          <w:p>
            <w:pPr>
              <w:spacing w:after="0"/>
            </w:pPr>
            <w:r/>
            <w:r>
              <w:rPr>
                <w:rFonts w:ascii="Calibri" w:hAnsi="Calibri" w:eastAsia="Calibri"/>
                <w:color w:val="14202E"/>
                <w:sz w:val="18"/>
              </w:rPr>
              <w:t>Document &amp; record control · internal audit · CAPA · uncertainty · complaints</w:t>
            </w:r>
          </w:p>
        </w:tc>
        <w:tc>
          <w:tcPr>
            <w:tcW w:type="dxa" w:w="1584"/>
            <w:shd w:val="clear" w:color="auto" w:fill="F3F7FC"/>
          </w:tcPr>
          <w:p>
            <w:pPr>
              <w:spacing w:after="0"/>
            </w:pPr>
            <w:r/>
            <w:r>
              <w:rPr>
                <w:rFonts w:ascii="Calibri" w:hAnsi="Calibri" w:eastAsia="Calibri"/>
                <w:color w:val="14202E"/>
                <w:sz w:val="18"/>
              </w:rPr>
              <w:t>On revision</w:t>
            </w:r>
          </w:p>
        </w:tc>
      </w:tr>
      <w:tr>
        <w:tc>
          <w:tcPr>
            <w:tcW w:type="dxa" w:w="1008"/>
          </w:tcPr>
          <w:p>
            <w:pPr>
              <w:spacing w:after="0"/>
            </w:pPr>
            <w:r/>
            <w:r>
              <w:rPr>
                <w:rFonts w:ascii="Calibri" w:hAnsi="Calibri" w:eastAsia="Calibri"/>
                <w:color w:val="14202E"/>
                <w:sz w:val="18"/>
              </w:rPr>
              <w:t>WI</w:t>
            </w:r>
          </w:p>
        </w:tc>
        <w:tc>
          <w:tcPr>
            <w:tcW w:type="dxa" w:w="6048"/>
          </w:tcPr>
          <w:p>
            <w:pPr>
              <w:spacing w:after="0"/>
            </w:pPr>
            <w:r/>
            <w:r>
              <w:rPr>
                <w:rFonts w:ascii="Calibri" w:hAnsi="Calibri" w:eastAsia="Calibri"/>
                <w:color w:val="14202E"/>
                <w:sz w:val="18"/>
              </w:rPr>
              <w:t>Personnel competence · environment monitoring · equipment operation · sampling</w:t>
            </w:r>
          </w:p>
        </w:tc>
        <w:tc>
          <w:tcPr>
            <w:tcW w:type="dxa" w:w="1584"/>
          </w:tcPr>
          <w:p>
            <w:pPr>
              <w:spacing w:after="0"/>
            </w:pPr>
            <w:r/>
            <w:r>
              <w:rPr>
                <w:rFonts w:ascii="Calibri" w:hAnsi="Calibri" w:eastAsia="Calibri"/>
                <w:color w:val="14202E"/>
                <w:sz w:val="18"/>
              </w:rPr>
              <w:t>On revision</w:t>
            </w:r>
          </w:p>
        </w:tc>
      </w:tr>
      <w:tr>
        <w:tc>
          <w:tcPr>
            <w:tcW w:type="dxa" w:w="1008"/>
            <w:shd w:val="clear" w:color="auto" w:fill="F3F7FC"/>
          </w:tcPr>
          <w:p>
            <w:pPr>
              <w:spacing w:after="0"/>
            </w:pPr>
            <w:r/>
            <w:r>
              <w:rPr>
                <w:rFonts w:ascii="Calibri" w:hAnsi="Calibri" w:eastAsia="Calibri"/>
                <w:color w:val="14202E"/>
                <w:sz w:val="18"/>
              </w:rPr>
              <w:t>FR</w:t>
            </w:r>
          </w:p>
        </w:tc>
        <w:tc>
          <w:tcPr>
            <w:tcW w:type="dxa" w:w="6048"/>
            <w:shd w:val="clear" w:color="auto" w:fill="F3F7FC"/>
          </w:tcPr>
          <w:p>
            <w:pPr>
              <w:spacing w:after="0"/>
            </w:pPr>
            <w:r/>
            <w:r>
              <w:rPr>
                <w:rFonts w:ascii="Calibri" w:hAnsi="Calibri" w:eastAsia="Calibri"/>
                <w:color w:val="14202E"/>
                <w:sz w:val="18"/>
              </w:rPr>
              <w:t>Audit checklist · management review record · raw test/calibration record</w:t>
            </w:r>
          </w:p>
        </w:tc>
        <w:tc>
          <w:tcPr>
            <w:tcW w:type="dxa" w:w="1584"/>
            <w:shd w:val="clear" w:color="auto" w:fill="F3F7FC"/>
          </w:tcPr>
          <w:p>
            <w:pPr>
              <w:spacing w:after="0"/>
            </w:pPr>
            <w:r/>
            <w:r>
              <w:rPr>
                <w:rFonts w:ascii="Calibri" w:hAnsi="Calibri" w:eastAsia="Calibri"/>
                <w:color w:val="14202E"/>
                <w:sz w:val="18"/>
              </w:rPr>
              <w:t>Per use</w:t>
            </w:r>
          </w:p>
        </w:tc>
      </w:tr>
    </w:tbl>
    <w:p>
      <w:pPr>
        <w:spacing w:before="280" w:after="100"/>
        <w:pBdr>
          <w:bottom w:val="single" w:sz="6" w:space="6" w:color="0F2A4A"/>
        </w:pBdr>
      </w:pPr>
      <w:r>
        <w:rPr>
          <w:rFonts w:ascii="Calibri" w:hAnsi="Calibri" w:eastAsia="Calibri"/>
          <w:b/>
          <w:color w:val="0F2A4A"/>
          <w:sz w:val="27"/>
        </w:rPr>
        <w:t>6  What the full deliverable adds</w:t>
      </w:r>
    </w:p>
    <w:p>
      <w:pPr>
        <w:pStyle w:val="ListBullet"/>
        <w:spacing w:after="60"/>
      </w:pPr>
      <w:r>
        <w:rPr>
          <w:rFonts w:ascii="Calibri" w:hAnsi="Calibri" w:eastAsia="Calibri"/>
          <w:color w:val="5B6B7F"/>
          <w:sz w:val="21"/>
        </w:rPr>
        <w:t xml:space="preserve">Every §4–§8 clause expanded — </w:t>
      </w:r>
      <w:r>
        <w:rPr>
          <w:rFonts w:ascii="Calibri" w:hAnsi="Calibri" w:eastAsia="Calibri"/>
          <w:b/>
          <w:color w:val="0F2A4A"/>
          <w:sz w:val="21"/>
        </w:rPr>
        <w:t>field-ready wording for testing and calibration, not a skeleton.</w:t>
      </w:r>
    </w:p>
    <w:p>
      <w:pPr>
        <w:pStyle w:val="ListBullet"/>
        <w:spacing w:after="60"/>
      </w:pPr>
      <w:r>
        <w:rPr>
          <w:rFonts w:ascii="Calibri" w:hAnsi="Calibri" w:eastAsia="Calibri"/>
          <w:color w:val="5B6B7F"/>
          <w:sz w:val="21"/>
        </w:rPr>
        <w:t xml:space="preserve">Your accreditation body’s mandatory clauses — </w:t>
      </w:r>
      <w:r>
        <w:rPr>
          <w:rFonts w:ascii="Calibri" w:hAnsi="Calibri" w:eastAsia="Calibri"/>
          <w:b/>
          <w:color w:val="0F2A4A"/>
          <w:sz w:val="21"/>
        </w:rPr>
        <w:t>and prohibited terms woven into each section.</w:t>
      </w:r>
    </w:p>
    <w:p>
      <w:pPr>
        <w:pStyle w:val="ListBullet"/>
        <w:spacing w:after="60"/>
      </w:pPr>
      <w:r>
        <w:rPr>
          <w:rFonts w:ascii="Calibri" w:hAnsi="Calibri" w:eastAsia="Calibri"/>
          <w:color w:val="5B6B7F"/>
          <w:sz w:val="21"/>
        </w:rPr>
        <w:t xml:space="preserve">Your inputs used directly — </w:t>
      </w:r>
      <w:r>
        <w:rPr>
          <w:rFonts w:ascii="Calibri" w:hAnsi="Calibri" w:eastAsia="Calibri"/>
          <w:b/>
          <w:color w:val="0F2A4A"/>
          <w:sz w:val="21"/>
        </w:rPr>
        <w:t>country, body, industry, stage and any document you upload.</w:t>
      </w:r>
    </w:p>
    <w:p>
      <w:pPr>
        <w:pStyle w:val="ListBullet"/>
        <w:spacing w:after="60"/>
      </w:pPr>
      <w:r>
        <w:rPr>
          <w:rFonts w:ascii="Calibri" w:hAnsi="Calibri" w:eastAsia="Calibri"/>
          <w:color w:val="5B6B7F"/>
          <w:sz w:val="21"/>
        </w:rPr>
        <w:t xml:space="preserve">Consistency with your own templates — </w:t>
      </w:r>
      <w:r>
        <w:rPr>
          <w:rFonts w:ascii="Calibri" w:hAnsi="Calibri" w:eastAsia="Calibri"/>
          <w:b/>
          <w:color w:val="0F2A4A"/>
          <w:sz w:val="21"/>
        </w:rPr>
        <w:t>your fonts, headers, footers and table styling preserved.</w:t>
      </w:r>
    </w:p>
    <w:p>
      <w:pPr>
        <w:pStyle w:val="ListBullet"/>
        <w:spacing w:after="60"/>
      </w:pPr>
      <w:r>
        <w:rPr>
          <w:rFonts w:ascii="Calibri" w:hAnsi="Calibri" w:eastAsia="Calibri"/>
          <w:color w:val="5B6B7F"/>
          <w:sz w:val="21"/>
        </w:rPr>
        <w:t xml:space="preserve">Editable, watermark-free Word (.docx) — </w:t>
      </w:r>
      <w:r>
        <w:rPr>
          <w:rFonts w:ascii="Calibri" w:hAnsi="Calibri" w:eastAsia="Calibri"/>
          <w:b/>
          <w:color w:val="0F2A4A"/>
          <w:sz w:val="21"/>
        </w:rPr>
        <w:t>ready for your document-control system.</w:t>
      </w:r>
    </w:p>
    <w:p>
      <w:pPr>
        <w:spacing w:after="80" w:line="269" w:lineRule="auto"/>
      </w:pPr>
      <w:r>
        <w:rPr>
          <w:rFonts w:ascii="Calibri" w:hAnsi="Calibri" w:eastAsia="Calibri"/>
          <w:b w:val="0"/>
          <w:i/>
          <w:color w:val="5B6B7F"/>
          <w:sz w:val="19"/>
        </w:rPr>
        <w:t>This is a generic demonstration sample produced by LabKitPro. It shows structure, wording and evidence logic only — none of your personalization inputs (country, accreditation body, industry, stage, uploaded documents) are applied. The full, tailored and watermark-free deliverable is generated from your context at labkitpro.com.</w:t>
      </w:r>
    </w:p>
    <w:sectPr w:rsidR="00FC693F" w:rsidRPr="0006063C" w:rsidSect="00034616">
      <w:headerReference w:type="default" r:id="rId9"/>
      <w:footerReference w:type="default" r:id="rId10"/>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94A3B8"/>
        <w:sz w:val="17"/>
      </w:rPr>
      <w:t xml:space="preserve">LabKitPro  ·  ISO/IEC 17025:2017 toolkit  ·  labkitpro.com        Page </w:t>
    </w:r>
    <w:r>
      <w:rPr>
        <w:rFonts w:ascii="Calibri" w:hAnsi="Calibri" w:eastAsia="Calibri"/>
        <w:color w:val="94A3B8"/>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94A3B8"/>
        <w:sz w:val="16"/>
      </w:rPr>
      <w:t>DEMO SAMPLE  ·  NOT A FULL DELIVERABLE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