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AB06D1" w:rsidRDefault="00AB06D1">
          <w:pPr>
            <w:pStyle w:val="TOC"/>
          </w:pPr>
          <w:r>
            <w:rPr>
              <w:lang w:val="zh-CN"/>
            </w:rPr>
            <w:t>目录</w:t>
          </w:r>
        </w:p>
        <w:p w:rsidR="00AB06D1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08125" w:history="1">
            <w:r w:rsidRPr="00DB368D">
              <w:rPr>
                <w:rStyle w:val="af0"/>
                <w:noProof/>
              </w:rPr>
              <w:t>楞伽阿跋多羅寶經玄義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6" w:history="1">
            <w:r w:rsidR="00AB06D1" w:rsidRPr="00DB368D">
              <w:rPr>
                <w:rStyle w:val="af0"/>
                <w:noProof/>
              </w:rPr>
              <w:t>楞伽阿跋多羅寶經義疏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7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8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一切佛語心品之一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9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0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楞伽阿跋多羅寶經卷第一義疏中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1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楞伽阿跋多羅寶經卷第一義疏下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_Toc77608131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23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2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楞伽阿跋多羅寶經卷第二義疏上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_Toc77608132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31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3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一切佛語心品之二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_Toc77608133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31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4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楞伽阿跋多羅寶經卷第二義疏下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_Toc77608134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40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5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楞伽阿跋多羅寶經卷第三義疏上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_Toc77608135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6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一切佛語心品之三（魏云。佛心品第四。唐云。無常品第三。）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7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楞伽阿跋多羅寶經卷第三義疏下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56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8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楞伽阿跋多羅寶經卷第四義疏上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9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一切佛語心品之四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4F369C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40" w:history="1">
            <w:r w:rsidR="00AB06D1" w:rsidRPr="00DB368D">
              <w:rPr>
                <w:rStyle w:val="af0"/>
                <w:rFonts w:asciiTheme="minorEastAsia" w:hAnsi="宋体" w:cs="宋体"/>
                <w:noProof/>
                <w:kern w:val="0"/>
              </w:rPr>
              <w:t>楞伽阿跋多羅寶經卷第四義疏下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_Toc77608140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A56034">
              <w:rPr>
                <w:noProof/>
                <w:webHidden/>
              </w:rPr>
              <w:t>72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A91010" w:rsidRDefault="00A91010" w:rsidP="00232E6C">
      <w:pPr>
        <w:pStyle w:val="1"/>
      </w:pPr>
      <w:bookmarkStart w:id="1" w:name="_Toc77608125"/>
      <w:r w:rsidRPr="00A91010">
        <w:lastRenderedPageBreak/>
        <w:t>楞伽阿跋多羅寶經玄義</w:t>
      </w:r>
      <w:bookmarkEnd w:id="1"/>
      <w:r w:rsidRPr="00A91010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体" w:cs="宋体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体" w:cs="宋体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昬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体" w:cs="宋体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A91010" w:rsidRDefault="00FF1063" w:rsidP="00FF1063">
      <w:pPr>
        <w:pStyle w:val="1"/>
        <w:rPr>
          <w:sz w:val="21"/>
        </w:rPr>
      </w:pPr>
      <w:bookmarkStart w:id="2" w:name="_Toc77608126"/>
      <w:r w:rsidRPr="00FF1063">
        <w:rPr>
          <w:rFonts w:hint="eastAsia"/>
        </w:rPr>
        <w:lastRenderedPageBreak/>
        <w:t>楞伽阿跋多羅寶經義疏</w:t>
      </w:r>
      <w:bookmarkEnd w:id="2"/>
    </w:p>
    <w:p w:rsidR="00A91010" w:rsidRPr="00A91010" w:rsidRDefault="00A91010" w:rsidP="00D11519">
      <w:pPr>
        <w:pStyle w:val="2"/>
      </w:pPr>
      <w:bookmarkStart w:id="3" w:name="_Toc77608127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楞伽阿跋多羅寶經卷第一義疏上</w:t>
      </w:r>
      <w:bookmarkEnd w:id="3"/>
    </w:p>
    <w:p w:rsidR="00A91010" w:rsidRPr="00A91010" w:rsidRDefault="00A91010" w:rsidP="00CE3D1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支那沙門蕅益釋智旭疏義</w:t>
      </w:r>
    </w:p>
    <w:p w:rsidR="00A91010" w:rsidRPr="00A91010" w:rsidRDefault="00A91010" w:rsidP="00776B2A">
      <w:pPr>
        <w:pStyle w:val="3"/>
      </w:pPr>
      <w:bookmarkStart w:id="4" w:name="_Toc77608128"/>
      <w:r w:rsidRPr="00A91010">
        <w:rPr>
          <w:rFonts w:asciiTheme="minorEastAsia" w:hAnsi="宋体" w:cs="宋体"/>
          <w:kern w:val="0"/>
          <w:sz w:val="21"/>
          <w:szCs w:val="24"/>
        </w:rPr>
        <w:t>一切佛語心品之一</w:t>
      </w:r>
      <w:bookmarkEnd w:id="4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疏曰。此即五事證信之四也。如是者。舉所聞之法。我聞者。明能持之人。一時者。明聞持和合。佛者。明時從佛聞。南海濱等者。明聞持之所也。據魏唐二譯。並云山頂楞伽城中。此云楞伽山頂。葢影略也。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A56034">
      <w:pPr>
        <w:pStyle w:val="a5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A56034">
      <w:pPr>
        <w:pStyle w:val="a5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〔麥*廣〕麥塵。（唐云。兔毫與隙遊。蟣羊毛〔麥*廣〕麥）鉢他（一升）幾〔麥*廣〕麥。阿羅（一斗）〔麥*廣〕麥幾。獨籠（一斛）那佉梨。（十斛）勒叉（一萬）及舉利。（一億）乃至頻婆羅。（一兆）是各有幾數。為有幾阿〔少/兔〕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〔少/兔〕。風阿〔少/兔〕復幾。根根幾阿〔少/兔〕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也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〔糸*曹〕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〔少/兔〕句。非阿〔少/兔〕句。（魏云。微塵。唐云。</w:t>
      </w:r>
      <w:r w:rsidRPr="00A91010">
        <w:lastRenderedPageBreak/>
        <w:t>塵。）水句。非水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此應依二譯為是。葢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葢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体" w:cs="宋体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葢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</w:p>
    <w:p w:rsidR="00A91010" w:rsidRPr="00A91010" w:rsidRDefault="00A91010" w:rsidP="00D11519">
      <w:pPr>
        <w:pStyle w:val="2"/>
      </w:pPr>
      <w:bookmarkStart w:id="5" w:name="_Toc77608129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楞伽阿跋多羅寶經卷第一義疏上</w:t>
      </w:r>
      <w:bookmarkEnd w:id="5"/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名相考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世不動（四禪入定。名世間不動業。或第四禪名世間不動地。）犍闥婆城（即海上所見蜃樓。望之似有。即之則不可得也。）五明處（一內明。為求自解。二因明。為伏外執。三聲明。為令他信。四醫明。為所治方。五巧明。為攝一切眾生。） 阿闍棃（此云軌範師。）六節（西士俗法。年分三時。或分六節。）一闡提（此云斷善根。亦云信不具。）不男（律明五種。謂一生不男。二犍不男。三變不男。四妬不男。五半不男也。後世又言五種不女。律中不載。經文亦無。）甘蔗種（本行經云。王仙被獵師所射。滴血於地。生二甘蔗。日炙而開。一出童男。一出童女。佔相師立男名善生。為灌頂王。女名善賢。為妃。生釋種。）勝相（即佛胸前卍字德相。）因陀羅網（天帝釋所有寶珠網也。）離日月光（謂不假日月。自有光明。）化佛（隨機應現）報生佛（酬宿修因）如如佛（體性不變）智慧佛（本覺寂照。二譯皆合為一。顯是性德理智也）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巳種善根。今得增長成熟。是為人對治二益。已成熟者。今得度脫。是第一義益。故約眾生獲益為次第也）毘尼（此翻滅。亦翻律）男女林（西域有樹林。生果似男女形。美麗殊絕。遇風墮落。眾鳥啄殘。臭不可聞。欲心熾盛者。見之生厭）訶棃（果名。此云天主特來）阿摩勒（亦果名。此云難分別）闥婆（具云乾闥婆。此翻巡香行。乃天帝奏樂神也）</w:t>
      </w:r>
    </w:p>
    <w:p w:rsidR="00A91010" w:rsidRPr="00A91010" w:rsidRDefault="00A91010" w:rsidP="00D11519">
      <w:pPr>
        <w:pStyle w:val="2"/>
      </w:pPr>
      <w:bookmarkStart w:id="6" w:name="_Toc77608130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楞伽阿跋多羅寶經卷第一義疏中</w:t>
      </w:r>
      <w:bookmarkEnd w:id="6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爾時世尊。告大慧菩薩言。四因緣故。眼識轉。何等為四。謂自心現攝受不覺（魏云。一者不覺自內身取境界故。唐云。所謂不覺</w:t>
      </w:r>
      <w:r w:rsidRPr="00A91010">
        <w:lastRenderedPageBreak/>
        <w:t>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非異非不異。唐云。青赤等諸色。鹽貝乳石蜜。花果日月光。非異非不異。）海水起波浪。七識亦如是。心俱和合生。（魏同。唐云。</w:t>
      </w:r>
      <w:r w:rsidRPr="00A91010">
        <w:lastRenderedPageBreak/>
        <w:t>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lastRenderedPageBreak/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於此離有離無之牛兔。而更妄想分別一有角一無角耶。夫待有言無。待無言有。則不知有無皆是自心分別。然離郤自心分別。安有有無二法可得哉。又必對牛角有而觀兔角無者。試析牛角至微塵時。牛角安在。牛角旣尚非有。云何對之而計兔角無耶。夫牛</w:t>
      </w:r>
      <w:r w:rsidRPr="00A91010">
        <w:rPr>
          <w:rFonts w:asciiTheme="minorEastAsia" w:hAnsi="宋体" w:cs="宋体"/>
          <w:kern w:val="0"/>
          <w:szCs w:val="24"/>
        </w:rPr>
        <w:lastRenderedPageBreak/>
        <w:t>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漸熟。而一樹非不頓生多果。諸器雖以漸成。而陶家非不頓作諸器。萬物雖漸生長。而大地非不頓生萬物。技術雖以漸成。而巧</w:t>
      </w:r>
      <w:r w:rsidRPr="00A91010">
        <w:rPr>
          <w:rFonts w:asciiTheme="minorEastAsia" w:hAnsi="宋体" w:cs="宋体"/>
          <w:kern w:val="0"/>
          <w:szCs w:val="24"/>
        </w:rPr>
        <w:lastRenderedPageBreak/>
        <w:t>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A91010" w:rsidRDefault="00A91010" w:rsidP="00D11519">
      <w:pPr>
        <w:pStyle w:val="2"/>
      </w:pPr>
      <w:bookmarkStart w:id="7" w:name="_Toc77608131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楞伽阿跋多羅寶經卷第一義疏下</w:t>
      </w:r>
      <w:bookmarkEnd w:id="7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不能緣聲等。香、味、觸三。例此廣破。故知四大四微。皆非心外實有法也。而諸經論。或稱為能所八法者。正顯離能無所。離</w:t>
      </w:r>
      <w:r w:rsidRPr="00A91010">
        <w:rPr>
          <w:rFonts w:asciiTheme="minorEastAsia" w:hAnsi="宋体" w:cs="宋体"/>
          <w:kern w:val="0"/>
          <w:szCs w:val="24"/>
        </w:rPr>
        <w:lastRenderedPageBreak/>
        <w:t>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不知心外無法。法本不生。故計所生無常。待之轉計能生是常。前已破竟。今乃正明一切諸法。者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</w:t>
      </w:r>
      <w:r w:rsidRPr="00A91010">
        <w:rPr>
          <w:rFonts w:asciiTheme="minorEastAsia" w:hAnsi="宋体" w:cs="宋体"/>
          <w:kern w:val="0"/>
          <w:szCs w:val="24"/>
        </w:rPr>
        <w:lastRenderedPageBreak/>
        <w:t>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lastRenderedPageBreak/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。）所以者何。謂如來不捨一切眾生故。以是故菩薩一闡提不般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</w:t>
      </w:r>
      <w:r w:rsidRPr="00A91010">
        <w:rPr>
          <w:rFonts w:asciiTheme="minorEastAsia" w:hAnsi="宋体" w:cs="宋体"/>
          <w:kern w:val="0"/>
          <w:szCs w:val="24"/>
        </w:rPr>
        <w:lastRenderedPageBreak/>
        <w:t>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疏曰。迷於自心現量。妄見有陰界入。譬如翳目所見空華。豈有自相共相可得。而妄計云。此自相如是。此共相不異但是無始虛偽習氣所生耳。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</w:t>
      </w:r>
      <w:r w:rsidRPr="00A91010">
        <w:rPr>
          <w:rFonts w:asciiTheme="minorEastAsia" w:hAnsi="宋体" w:cs="宋体"/>
          <w:kern w:val="0"/>
          <w:szCs w:val="24"/>
        </w:rPr>
        <w:lastRenderedPageBreak/>
        <w:t>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A91010" w:rsidRDefault="00A91010" w:rsidP="00D11519">
      <w:pPr>
        <w:pStyle w:val="2"/>
      </w:pPr>
      <w:bookmarkStart w:id="8" w:name="_Toc77608132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楞伽阿跋多羅寶經卷第二義疏上</w:t>
      </w:r>
      <w:bookmarkEnd w:id="8"/>
    </w:p>
    <w:p w:rsidR="00A91010" w:rsidRPr="00A91010" w:rsidRDefault="00A91010" w:rsidP="00CE3D1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支那蕅益沙門釋智旭疏義</w:t>
      </w:r>
    </w:p>
    <w:p w:rsidR="00A91010" w:rsidRPr="00A91010" w:rsidRDefault="00A91010" w:rsidP="00776B2A">
      <w:pPr>
        <w:pStyle w:val="3"/>
      </w:pPr>
      <w:bookmarkStart w:id="9" w:name="_Toc77608133"/>
      <w:r w:rsidRPr="00A91010">
        <w:rPr>
          <w:rFonts w:asciiTheme="minorEastAsia" w:hAnsi="宋体" w:cs="宋体"/>
          <w:kern w:val="0"/>
          <w:sz w:val="21"/>
          <w:szCs w:val="24"/>
        </w:rPr>
        <w:t>一切佛語心品之二</w:t>
      </w:r>
      <w:bookmarkEnd w:id="9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意生身者。據後分別。共有三種。今指第三種類俱生無行作意生身也。葢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lastRenderedPageBreak/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疏曰。若心外因緣漸次生心外果。因果不同時者。譬如末生子時。不得名父。未生果時。云何名因。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</w:t>
      </w:r>
      <w:r w:rsidRPr="00A91010">
        <w:lastRenderedPageBreak/>
        <w:t>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說所入。不惟非言說。亦復非所說。如親觸火畤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</w:t>
      </w:r>
      <w:r w:rsidRPr="00A91010">
        <w:lastRenderedPageBreak/>
        <w:t>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疏曰。諸阿含經。亦說諸法自相共相。以破愚夫虛妄我執。葢彼旣不能達唯心境界。故亦不能即於化身而見法身也。初正顯俗諦是隨情說竟。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lastRenderedPageBreak/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</w:t>
      </w:r>
      <w:r w:rsidRPr="00A91010">
        <w:lastRenderedPageBreak/>
        <w:t>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A91010" w:rsidRDefault="00A91010" w:rsidP="00D11519">
      <w:pPr>
        <w:pStyle w:val="2"/>
      </w:pPr>
      <w:bookmarkStart w:id="10" w:name="_Toc77608134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</w:t>
      </w:r>
      <w:r w:rsidRPr="00A91010">
        <w:rPr>
          <w:rFonts w:asciiTheme="minorEastAsia" w:hAnsi="宋体" w:cs="宋体"/>
          <w:kern w:val="0"/>
          <w:szCs w:val="24"/>
        </w:rPr>
        <w:lastRenderedPageBreak/>
        <w:t>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</w:t>
      </w:r>
      <w:r w:rsidRPr="00A91010">
        <w:lastRenderedPageBreak/>
        <w:t>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</w:t>
      </w:r>
      <w:r w:rsidRPr="00A91010">
        <w:lastRenderedPageBreak/>
        <w:t>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</w:t>
      </w:r>
      <w:r w:rsidRPr="00A91010">
        <w:lastRenderedPageBreak/>
        <w:t>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lastRenderedPageBreak/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</w:t>
      </w:r>
      <w:r w:rsidRPr="00A91010">
        <w:lastRenderedPageBreak/>
        <w:t>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</w:t>
      </w:r>
      <w:r w:rsidRPr="00A91010">
        <w:rPr>
          <w:rFonts w:asciiTheme="minorEastAsia" w:hAnsi="宋体" w:cs="宋体"/>
          <w:kern w:val="0"/>
          <w:szCs w:val="24"/>
        </w:rPr>
        <w:lastRenderedPageBreak/>
        <w:t>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疏曰。此正頌從權入實也。第十七自覺聖智一乘門竟。</w:t>
      </w:r>
    </w:p>
    <w:p w:rsidR="00A91010" w:rsidRPr="00A91010" w:rsidRDefault="00A91010" w:rsidP="00D11519">
      <w:pPr>
        <w:pStyle w:val="2"/>
      </w:pPr>
      <w:bookmarkStart w:id="11" w:name="_Toc77608135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楞伽阿跋多羅寶經卷第三義疏上</w:t>
      </w:r>
      <w:bookmarkEnd w:id="11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支那蕅益沙門釋智旭疏義</w:t>
      </w:r>
    </w:p>
    <w:p w:rsidR="00A91010" w:rsidRPr="00A91010" w:rsidRDefault="00A91010" w:rsidP="00776B2A">
      <w:pPr>
        <w:pStyle w:val="3"/>
      </w:pPr>
      <w:bookmarkStart w:id="12" w:name="_Toc77608136"/>
      <w:r w:rsidRPr="00A91010">
        <w:rPr>
          <w:rFonts w:asciiTheme="minorEastAsia" w:hAnsi="宋体" w:cs="宋体"/>
          <w:kern w:val="0"/>
          <w:sz w:val="21"/>
          <w:szCs w:val="24"/>
        </w:rPr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音聲性（唐云。謂我作六十四種梵音聲語。一切如來亦作此語。迦陵頻伽梵音聲性。不增不減。無有差別。是名語等）云何身等。</w:t>
      </w:r>
      <w:r w:rsidRPr="00A91010">
        <w:lastRenderedPageBreak/>
        <w:t>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聞緣覺及以如來。本性解脫。無有能縛及縛因故。）大慧。若有縛者。應有縛。是縛因故。（唐云。若有能縛及以縛因。則有所縛。）</w:t>
      </w:r>
      <w:r w:rsidRPr="00A91010">
        <w:lastRenderedPageBreak/>
        <w:t>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lastRenderedPageBreak/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離緣離法。究竟妙淨。亦是唯心。次四句。明假名我法。並無實事。次四句。明相平等。因平等。生平等。無我平等。應修觀</w:t>
      </w:r>
      <w:r w:rsidRPr="00A91010">
        <w:rPr>
          <w:rFonts w:asciiTheme="minorEastAsia" w:hAnsi="宋体" w:cs="宋体"/>
          <w:kern w:val="0"/>
          <w:szCs w:val="24"/>
        </w:rPr>
        <w:lastRenderedPageBreak/>
        <w:t>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A91010" w:rsidRDefault="00A91010" w:rsidP="00D11519">
      <w:pPr>
        <w:pStyle w:val="2"/>
      </w:pPr>
      <w:bookmarkStart w:id="13" w:name="_Toc77608137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種種變化。光明照曜。覺慧善入十無盡句。無方便行。（唐云。無功用）猶如日月摩尼四大。於一切地。離自妄想相見。（唐云。住</w:t>
      </w:r>
      <w:r w:rsidRPr="00A91010">
        <w:lastRenderedPageBreak/>
        <w:t>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</w:t>
      </w:r>
      <w:r w:rsidRPr="00A91010">
        <w:lastRenderedPageBreak/>
        <w:t>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</w:t>
      </w:r>
      <w:r w:rsidRPr="00A91010">
        <w:lastRenderedPageBreak/>
        <w:t>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</w:t>
      </w:r>
      <w:r w:rsidRPr="00A91010">
        <w:lastRenderedPageBreak/>
        <w:t>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</w:t>
      </w:r>
      <w:r w:rsidRPr="00A91010">
        <w:lastRenderedPageBreak/>
        <w:t>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</w:t>
      </w:r>
      <w:r w:rsidRPr="00A91010">
        <w:lastRenderedPageBreak/>
        <w:t>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A91010" w:rsidRDefault="00A91010" w:rsidP="00D11519">
      <w:pPr>
        <w:pStyle w:val="2"/>
      </w:pPr>
      <w:bookmarkStart w:id="14" w:name="_Toc77608138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支那沙門蕅益釋智旭疏義</w:t>
      </w:r>
    </w:p>
    <w:p w:rsidR="00A91010" w:rsidRPr="00A91010" w:rsidRDefault="00A91010" w:rsidP="00776B2A">
      <w:pPr>
        <w:pStyle w:val="3"/>
      </w:pPr>
      <w:bookmarkStart w:id="15" w:name="_Toc77608139"/>
      <w:r w:rsidRPr="00A91010">
        <w:rPr>
          <w:rFonts w:asciiTheme="minorEastAsia" w:hAnsi="宋体" w:cs="宋体"/>
          <w:kern w:val="0"/>
          <w:sz w:val="21"/>
          <w:szCs w:val="24"/>
        </w:rPr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有異不異）相似故不異。長短差別故有異。一切法亦如是。大慧。如牛右角異左角。左角異右角。如是長短種種色各各異。（唐云。</w:t>
      </w:r>
      <w:r w:rsidRPr="00A91010">
        <w:lastRenderedPageBreak/>
        <w:t>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lastRenderedPageBreak/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lastRenderedPageBreak/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</w:t>
      </w:r>
      <w:r w:rsidRPr="00A91010">
        <w:lastRenderedPageBreak/>
        <w:t>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</w:t>
      </w:r>
      <w:r w:rsidRPr="00A91010">
        <w:lastRenderedPageBreak/>
        <w:t>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A91010" w:rsidRDefault="00A91010" w:rsidP="00D11519">
      <w:pPr>
        <w:pStyle w:val="2"/>
      </w:pPr>
      <w:bookmarkStart w:id="16" w:name="_Toc77608140"/>
      <w:r w:rsidRPr="00A91010">
        <w:rPr>
          <w:rFonts w:asciiTheme="minorEastAsia" w:eastAsiaTheme="minorEastAsia" w:hAnsi="宋体" w:cs="宋体"/>
          <w:kern w:val="0"/>
          <w:sz w:val="21"/>
          <w:szCs w:val="24"/>
        </w:rPr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lastRenderedPageBreak/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</w:t>
      </w:r>
      <w:r w:rsidRPr="00A91010">
        <w:lastRenderedPageBreak/>
        <w:t>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</w:t>
      </w:r>
      <w:r w:rsidRPr="00A91010">
        <w:lastRenderedPageBreak/>
        <w:t>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</w:t>
      </w:r>
      <w:r w:rsidRPr="00A91010">
        <w:lastRenderedPageBreak/>
        <w:t>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lastRenderedPageBreak/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</w:t>
      </w:r>
      <w:r w:rsidRPr="00A91010">
        <w:lastRenderedPageBreak/>
        <w:t>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</w:t>
      </w:r>
      <w:r w:rsidRPr="00A91010">
        <w:lastRenderedPageBreak/>
        <w:t>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A91010">
        <w:rPr>
          <w:rFonts w:asciiTheme="minorEastAsia" w:hAnsi="宋体" w:cs="宋体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69C" w:rsidRDefault="004F369C"/>
  </w:endnote>
  <w:endnote w:type="continuationSeparator" w:id="0">
    <w:p w:rsidR="004F369C" w:rsidRDefault="004F3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69C" w:rsidRDefault="004F369C"/>
  </w:footnote>
  <w:footnote w:type="continuationSeparator" w:id="0">
    <w:p w:rsidR="004F369C" w:rsidRDefault="004F369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B7914"/>
    <w:rsid w:val="001F054B"/>
    <w:rsid w:val="00232E6C"/>
    <w:rsid w:val="0037397B"/>
    <w:rsid w:val="003B2463"/>
    <w:rsid w:val="004B3952"/>
    <w:rsid w:val="004C1773"/>
    <w:rsid w:val="004F369C"/>
    <w:rsid w:val="00584203"/>
    <w:rsid w:val="005B2898"/>
    <w:rsid w:val="005B66D8"/>
    <w:rsid w:val="006D2FFC"/>
    <w:rsid w:val="007654B2"/>
    <w:rsid w:val="00776B2A"/>
    <w:rsid w:val="007953CD"/>
    <w:rsid w:val="007C15DA"/>
    <w:rsid w:val="007F596A"/>
    <w:rsid w:val="00857FC1"/>
    <w:rsid w:val="00864ADF"/>
    <w:rsid w:val="009A3AB5"/>
    <w:rsid w:val="00A56034"/>
    <w:rsid w:val="00A91010"/>
    <w:rsid w:val="00AB06D1"/>
    <w:rsid w:val="00B411E5"/>
    <w:rsid w:val="00B877AE"/>
    <w:rsid w:val="00BA6855"/>
    <w:rsid w:val="00BF6DD3"/>
    <w:rsid w:val="00C07A24"/>
    <w:rsid w:val="00CA668F"/>
    <w:rsid w:val="00CE3D13"/>
    <w:rsid w:val="00CF169D"/>
    <w:rsid w:val="00D11519"/>
    <w:rsid w:val="00D57CC4"/>
    <w:rsid w:val="00D65655"/>
    <w:rsid w:val="00E511D9"/>
    <w:rsid w:val="00E60784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4371-57D9-4B95-9E2A-799FD4FA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28928</Words>
  <Characters>164891</Characters>
  <Application>Microsoft Office Word</Application>
  <DocSecurity>0</DocSecurity>
  <Lines>1374</Lines>
  <Paragraphs>386</Paragraphs>
  <ScaleCrop>false</ScaleCrop>
  <Company/>
  <LinksUpToDate>false</LinksUpToDate>
  <CharactersWithSpaces>193433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34</cp:revision>
  <dcterms:created xsi:type="dcterms:W3CDTF">2019-09-03T01:29:00Z</dcterms:created>
  <dcterms:modified xsi:type="dcterms:W3CDTF">2021-07-20T04:48:00Z</dcterms:modified>
</cp:coreProperties>
</file>