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>
          <w:color w:val="000000"/>
          <w:shd w:val="clear" w:color="auto" w:fill="FFFFFF"/>
        </w:rPr>
      </w:pPr>
      <w:r>
        <w:rPr>
          <w:i w:val="false"/>
          <w:strike w:val="false"/>
          <w:color w:val="000000"/>
          <w:spacing w:val="0"/>
          <w:u w:val="none"/>
          <w:shd w:val="clear" w:color="auto" w:fill="FFFFFF"/>
        </w:rPr>
        <w:t>研发费用加计扣除优惠明细表分析预测规则</w:t>
      </w:r>
    </w:p>
    <w:p>
      <w:pPr>
        <w:pStyle w:val="gfg757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规则一：总体加计扣除情况分析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：掌握企业整体研发费用投入规模与税收优惠享受水平。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计算方式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研发总投入金额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 = Σ(研发费用合计)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可加计扣除金额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 = Σ(符合政策的研发费用)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实际加计扣除额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 = 可加计扣除金额 × 加计比例（如100%或75%）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享受优惠税额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 = 实际加计扣除额 × 企业所得税税率（通常为25%）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加计覆盖率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 = (可加计扣除金额 / 研发总投入金额) × 100%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输出信息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研发总投入金额、可加计扣除金额、实际加计扣除额、享受优惠税额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加计覆盖率（反映费用归集合规性）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lj48q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规则二：费用结构维度分析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：识别各类研发费用构成及其合规性。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计算方式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按“费用类型”（如人员人工、直接投入、折旧费用、无形资产摊销、设计试验费、委托研发等）分组统计：各类费用金额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各类费用占比 = (该类费用 / 研发总投入) × 100%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是否符合《研发费用加计扣除政策指引》要求（标记“合规/存疑”）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输出信息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费用类型分布表（含金额、占比、合规状态）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主要费用构成总结（如人员人工是否超80%）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存疑费用项清单（如福利费、办公费误计入）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l4u8x4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规则三：项目维度分析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：评估各研发项目的投入效益与政策适配性。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计算方式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按“研发项目名称”分组：项目总投入 = Σ(该项目下所有费用)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项目可加计金额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项目阶段（立项/在研/结题）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是否有立项文件、辅助账、成果证明（标记完整性）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输出信息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各项目投入与加计金额对比表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投入Top 3项目清单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资料不全或无立项依据的项目清单（高风险提示）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uvwigc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规则四：时间维度分析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：分析研发费用发生的时间分布与税务申报节奏匹配度。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计算方式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按“费用发生月份”或“所属年度”分组，统计月度/年度研发费用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对比企业所得税汇算清缴时间节点（通常次年5月31日前）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识别是否存在年末集中列支、跨期费用等问题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输出信息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月度/年度研发费用趋势图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高峰月份说明（如Q4集中归集）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跨期或延迟归集风险提示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7srop6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规则五：部门/团队维度分析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：定位主要研发责任主体及其费用管理规范性。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计算方式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按“所属部门”或“研发团队”分组：部门总投入金额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部门可加计金额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部门加计覆盖率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是否存在非研发部门费用混入（如销售、行政）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输出信息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各部门研发投入排名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加计覆盖率低于80%的部门清单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非研发部门费用混入预警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g31aqj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规则六：合规性与风险评估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目标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：识别政策适用错误、资料缺失、核算不规范等风险。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判断逻辑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1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高风险项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：委托研发未取得合规发票或技术合同登记</w:t>
      </w:r>
    </w:p>
    <w:p>
      <w:pPr>
        <w:numPr>
          <w:ilvl w:val="1"/>
          <w:numId w:val="1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共用设备/人员未合理分摊</w:t>
      </w:r>
    </w:p>
    <w:p>
      <w:pPr>
        <w:numPr>
          <w:ilvl w:val="1"/>
          <w:numId w:val="1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费用凭证缺失（如无工时记录、领料单）</w:t>
      </w:r>
    </w:p>
    <w:p>
      <w:pPr>
        <w:numPr>
          <w:ilvl w:val="1"/>
          <w:numId w:val="1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加计比例使用错误（如制造业 vs 非制造业）</w:t>
      </w:r>
    </w:p>
    <w:p>
      <w:pPr>
        <w:numPr>
          <w:ilvl w:val="0"/>
          <w:numId w:val="1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政策时效性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：是否在汇算清缴前完成辅助账归集</w:t>
      </w:r>
    </w:p>
    <w:p>
      <w:pPr>
        <w:numPr>
          <w:ilvl w:val="1"/>
          <w:numId w:val="11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是否留存备查资料满10年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输出信息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12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高风险费用记录清单（含原因说明）</w:t>
      </w:r>
    </w:p>
    <w:p>
      <w:pPr>
        <w:numPr>
          <w:ilvl w:val="0"/>
          <w:numId w:val="12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合规性改进建议（如补充立项、完善分摊依据）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3efzqn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展示方式（模拟示例）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数据来源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：研发费用加计扣除优惠明细表_2025年版.xlsx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分析周期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：2024年1月 – 2024年12月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企业类型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：制造业（适用100%加计扣除）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研发总投入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：{2,400,000} 元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可加计扣除金额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：{2,160,000} 元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实际加计扣除额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：{2,160,000} 元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享受优惠税额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：{540,000} 元（2,160,000 × 25%）</w:t>
      </w:r>
    </w:p>
    <w:p>
      <w:pPr>
        <w:pStyle w:val="e6j4ib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一、总体加计扣除情况</w:t>
      </w:r>
    </w:p>
    <w:p>
      <w:pPr>
        <w:numPr>
          <w:ilvl w:val="0"/>
          <w:numId w:val="13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加计覆盖率：90%（2,160,000 / 2,400,000）</w:t>
      </w:r>
    </w:p>
    <w:p>
      <w:pPr>
        <w:numPr>
          <w:ilvl w:val="0"/>
          <w:numId w:val="13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说明：整体归集合规性良好，但仍有10%费用不可加计。</w:t>
      </w:r>
    </w:p>
    <w:p>
      <w:pPr>
        <w:pStyle w:val="lg32fj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二、费用结构分析</w:t>
      </w:r>
    </w:p>
    <w:tbl>
      <w:tblPr>
        <w:tblStyle w:val="0l2uhl"/>
        <w:tblLayout w:type="fixed"/>
      </w:tblPr>
      <w:tblGrid>
        <w:gridCol w:w="1222"/>
        <w:gridCol w:w="2853"/>
        <w:gridCol w:w="2096"/>
        <w:gridCol w:w="1688"/>
      </w:tblGrid>
      <w:tr>
        <w:trPr>
          <w:trHeight w:val="1055"/>
        </w:trPr>
        <w:tc>
          <w:tcPr>
            <w:tcW w:w="122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费用类型</w:t>
            </w:r>
          </w:p>
        </w:tc>
        <w:tc>
          <w:tcPr>
            <w:tcW w:w="28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金额（元）</w:t>
            </w:r>
          </w:p>
        </w:tc>
        <w:tc>
          <w:tcPr>
            <w:tcW w:w="20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占比</w:t>
            </w:r>
          </w:p>
        </w:tc>
        <w:tc>
          <w:tcPr>
            <w:tcW w:w="16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合规性</w:t>
            </w:r>
          </w:p>
        </w:tc>
      </w:tr>
      <w:tr>
        <w:trPr>
          <w:trHeight w:val="1350"/>
        </w:trPr>
        <w:tc>
          <w:tcPr>
            <w:tcW w:w="122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人员人工</w:t>
            </w:r>
          </w:p>
        </w:tc>
        <w:tc>
          <w:tcPr>
            <w:tcW w:w="28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1,200,000</w:t>
            </w:r>
          </w:p>
        </w:tc>
        <w:tc>
          <w:tcPr>
            <w:tcW w:w="20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50.0%</w:t>
            </w:r>
          </w:p>
        </w:tc>
        <w:tc>
          <w:tcPr>
            <w:tcW w:w="16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合规</w:t>
            </w:r>
          </w:p>
        </w:tc>
      </w:tr>
      <w:tr>
        <w:trPr>
          <w:trHeight w:val="1350"/>
        </w:trPr>
        <w:tc>
          <w:tcPr>
            <w:tcW w:w="122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直接投入</w:t>
            </w:r>
          </w:p>
        </w:tc>
        <w:tc>
          <w:tcPr>
            <w:tcW w:w="28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600,000</w:t>
            </w:r>
          </w:p>
        </w:tc>
        <w:tc>
          <w:tcPr>
            <w:tcW w:w="20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25.0%</w:t>
            </w:r>
          </w:p>
        </w:tc>
        <w:tc>
          <w:tcPr>
            <w:tcW w:w="16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合规</w:t>
            </w:r>
          </w:p>
        </w:tc>
      </w:tr>
      <w:tr>
        <w:trPr>
          <w:trHeight w:val="1350"/>
        </w:trPr>
        <w:tc>
          <w:tcPr>
            <w:tcW w:w="122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折旧费用</w:t>
            </w:r>
          </w:p>
        </w:tc>
        <w:tc>
          <w:tcPr>
            <w:tcW w:w="28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300,000</w:t>
            </w:r>
          </w:p>
        </w:tc>
        <w:tc>
          <w:tcPr>
            <w:tcW w:w="20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12.5%</w:t>
            </w:r>
          </w:p>
        </w:tc>
        <w:tc>
          <w:tcPr>
            <w:tcW w:w="16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合规</w:t>
            </w:r>
          </w:p>
        </w:tc>
      </w:tr>
      <w:tr>
        <w:trPr>
          <w:trHeight w:val="3333"/>
        </w:trPr>
        <w:tc>
          <w:tcPr>
            <w:tcW w:w="122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委托研发</w:t>
            </w:r>
          </w:p>
        </w:tc>
        <w:tc>
          <w:tcPr>
            <w:tcW w:w="28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200,000</w:t>
            </w:r>
          </w:p>
        </w:tc>
        <w:tc>
          <w:tcPr>
            <w:tcW w:w="20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8.3%</w:t>
            </w:r>
          </w:p>
        </w:tc>
        <w:tc>
          <w:tcPr>
            <w:tcW w:w="16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存疑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（缺技术合同登记）</w:t>
            </w:r>
          </w:p>
        </w:tc>
      </w:tr>
      <w:tr>
        <w:trPr>
          <w:trHeight w:val="2650"/>
        </w:trPr>
        <w:tc>
          <w:tcPr>
            <w:tcW w:w="122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办公杂费</w:t>
            </w:r>
          </w:p>
        </w:tc>
        <w:tc>
          <w:tcPr>
            <w:tcW w:w="285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100,000</w:t>
            </w:r>
          </w:p>
        </w:tc>
        <w:tc>
          <w:tcPr>
            <w:tcW w:w="20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4.2%</w:t>
            </w:r>
          </w:p>
        </w:tc>
        <w:tc>
          <w:tcPr>
            <w:tcW w:w="16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不合规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（不得加计）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 w:left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主要问题：委托研发未登记、办公费误计入。</w:t>
      </w:r>
    </w:p>
    <w:p>
      <w:pPr>
        <w:pStyle w:val="v8jxk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三、项目维度分析</w:t>
      </w:r>
    </w:p>
    <w:p>
      <w:pPr>
        <w:numPr>
          <w:ilvl w:val="0"/>
          <w:numId w:val="14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Top项目：“智能控制系统V2.0”投入80万元，资料完整；</w:t>
      </w:r>
    </w:p>
    <w:p>
      <w:pPr>
        <w:numPr>
          <w:ilvl w:val="0"/>
          <w:numId w:val="14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风险项目：“AI算法平台”无立项文件，建议补正。</w:t>
      </w:r>
    </w:p>
    <w:p>
      <w:pPr>
        <w:pStyle w:val="ojzoio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四、时间维度分析</w:t>
      </w:r>
    </w:p>
    <w:p>
      <w:pPr>
        <w:numPr>
          <w:ilvl w:val="0"/>
          <w:numId w:val="15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Q4费用占比达45%，存在年末集中列支现象，需关注合理性。</w:t>
      </w:r>
    </w:p>
    <w:p>
      <w:pPr>
        <w:pStyle w:val="vgzi74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五、部门维度分析</w:t>
      </w:r>
    </w:p>
    <w:p>
      <w:pPr>
        <w:numPr>
          <w:ilvl w:val="0"/>
          <w:numId w:val="16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研发中心覆盖率95%，但市场部混入15万元差旅费，需剔除。</w:t>
      </w:r>
    </w:p>
    <w:p>
      <w:pPr>
        <w:pStyle w:val="jrp2qd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六、风险评估</w:t>
      </w:r>
    </w:p>
    <w:p>
      <w:pPr>
        <w:numPr>
          <w:ilvl w:val="0"/>
          <w:numId w:val="17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高风险记录：3笔（委托研发、共用设备未分摊、凭证缺失）</w:t>
      </w:r>
    </w:p>
    <w:p>
      <w:pPr>
        <w:numPr>
          <w:ilvl w:val="0"/>
          <w:numId w:val="17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合规提示：务必在2025年5月31日前完成辅助账整理并留存备查资料。</w:t>
      </w:r>
    </w:p>
    <w:p>
      <w:pPr>
        <w:pBdr>
          <w:bottom w:val="thick" w:color="000000" w:sz="8"/>
        </w:pBdr>
        <w:ind w:left="0"/>
        <w:rPr>
          <w:color w:val="000000"/>
          <w:shd w:val="clear" w:color="auto" w:fill="FFFFFF"/>
        </w:rPr>
      </w:pPr>
    </w:p>
    <w:p>
      <w:pPr>
        <w:pStyle w:val="ufkgvt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七、总体概览</w:t>
      </w:r>
    </w:p>
    <w:p>
      <w:pPr>
        <w:numPr>
          <w:ilvl w:val="0"/>
          <w:numId w:val="18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总投入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：240万元</w:t>
      </w:r>
    </w:p>
    <w:p>
      <w:pPr>
        <w:numPr>
          <w:ilvl w:val="0"/>
          <w:numId w:val="18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加计覆盖率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：90%</w:t>
      </w:r>
    </w:p>
    <w:p>
      <w:pPr>
        <w:numPr>
          <w:ilvl w:val="0"/>
          <w:numId w:val="18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主要风险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：委托研发手续不全、非研发费用混入</w:t>
      </w:r>
    </w:p>
    <w:p>
      <w:pPr>
        <w:numPr>
          <w:ilvl w:val="0"/>
          <w:numId w:val="18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风险等级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：中等</w:t>
      </w:r>
    </w:p>
    <w:p>
      <w:pPr>
        <w:pStyle w:val="0uz5r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八、建议与行动项</w:t>
      </w:r>
    </w:p>
    <w:p>
      <w:pPr>
        <w:numPr>
          <w:ilvl w:val="0"/>
          <w:numId w:val="19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完善委托研发流程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：签订技术合同并完成科技部门登记。</w:t>
      </w:r>
    </w:p>
    <w:p>
      <w:pPr>
        <w:numPr>
          <w:ilvl w:val="0"/>
          <w:numId w:val="19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清理非研发费用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：建立费用归集审核机制，杜绝行政/销售费用混入。</w:t>
      </w:r>
    </w:p>
    <w:p>
      <w:pPr>
        <w:numPr>
          <w:ilvl w:val="0"/>
          <w:numId w:val="19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强化项目管理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：确保每个研发项目有立项书、进度记录、成果报告。</w:t>
      </w:r>
    </w:p>
    <w:p>
      <w:pPr>
        <w:numPr>
          <w:ilvl w:val="0"/>
          <w:numId w:val="19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优化核算系统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：在财务系统中设置“研发辅助核算”模块，自动分摊共用资源。</w:t>
      </w:r>
    </w:p>
    <w:p>
      <w:pPr>
        <w:numPr>
          <w:ilvl w:val="0"/>
          <w:numId w:val="19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开展内部培训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：组织财务、研发人员学习最新加计扣除政策要点。</w:t>
      </w:r>
    </w:p>
    <w:p>
      <w:pPr>
        <w:numPr>
          <w:ilvl w:val="0"/>
          <w:numId w:val="19"/>
        </w:numPr>
        <w:pBdr>
          <w:bottom w:val="thick" w:sz="0"/>
        </w:pBdr>
        <w:snapToGrid/>
        <w:spacing w:before="160" w:after="160" w:line="24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建立季度自查机制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：每季度末检查研发费用归集合规性，避免年底突击调整。</w:t>
      </w:r>
    </w:p>
    <w:p>
      <w:pPr>
        <w:snapToGrid/>
        <w:spacing w:line="240"/>
        <w:ind w:left="0"/>
        <w:rPr>
          <w:color w:val="000000"/>
          <w:shd w:val="clear" w:color="auto" w:fill="FFFFFF"/>
        </w:rPr>
      </w:pPr>
    </w:p>
    <w:p>
      <w:pPr>
        <w:pStyle w:val="ablt93"/>
        <w:rPr>
          <w:color w:val="000000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6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8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19">
    <w:abstractNumId w:val="6"/>
  </w:num>
  <w:num w:numId="14">
    <w:abstractNumId w:val="4"/>
  </w:num>
  <w:num w:numId="17">
    <w:abstractNumId w:val="2"/>
  </w:num>
  <w:num w:numId="18">
    <w:abstractNumId w:val="9"/>
  </w:num>
  <w:num w:numId="7">
    <w:abstractNumId w:val="15"/>
  </w:num>
  <w:num w:numId="1">
    <w:abstractNumId w:val="16"/>
  </w:num>
  <w:num w:numId="9">
    <w:abstractNumId w:val="8"/>
  </w:num>
  <w:num w:numId="10">
    <w:abstractNumId w:val="17"/>
  </w:num>
  <w:num w:numId="4">
    <w:abstractNumId w:val="14"/>
  </w:num>
  <w:num w:numId="15">
    <w:abstractNumId w:val="7"/>
  </w:num>
  <w:num w:numId="3">
    <w:abstractNumId w:val="13"/>
  </w:num>
  <w:num w:numId="5">
    <w:abstractNumId w:val="3"/>
  </w:num>
  <w:num w:numId="8">
    <w:abstractNumId w:val="1"/>
  </w:num>
  <w:num w:numId="6">
    <w:abstractNumId w:val="10"/>
  </w:num>
  <w:num w:numId="13">
    <w:abstractNumId w:val="18"/>
  </w:num>
  <w:num w:numId="11">
    <w:abstractNumId w:val="11"/>
  </w:num>
  <w:num w:numId="16">
    <w:abstractNumId w:val="12"/>
  </w:num>
  <w:num w:numId="2">
    <w:abstractNumId w:val="19"/>
  </w:num>
  <w:num w:numId="12">
    <w:abstractNumId w:val="5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0l2uhl">
    <w:name w:val="Table Grid"/>
    <w:basedOn w:val="elxgu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ufkgv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j48qe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4u8x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uvwig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jrp2q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fg757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g31aq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x0qt5f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uz5re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vgzi7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v8jxk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efzq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table" w:styleId="elxgu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6j4i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7srop6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jzoi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lg32f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2026-04-21T14:33:27Z</dcterms:created>
  <dcterms:modified xsi:type="dcterms:W3CDTF">2026-04-21T14:33:27Z</dcterms:modified>
</cp:coreProperties>
</file>