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akw4f9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41"/>
          <w:u w:val="none"/>
          <w:shd w:val="clear" w:color="auto" w:fill="FFFFFF"/>
        </w:rPr>
        <w:t>科研项目立项决议书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文件编号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：KY-LX-[年份]-[序号]（例：KY-LX-2025-003）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决议日期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：2025年11月1日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会议时间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：2025年10月28日 9:00–11:30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会议地点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：研究院第一会议室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主持人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：李建国（科研院院长）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记录人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：王雪（科研管理办公室）</w:t>
      </w:r>
    </w:p>
    <w:p>
      <w:pPr>
        <w:pStyle w:val="4tjh0s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一、参会人员</w:t>
      </w:r>
    </w:p>
    <w:tbl>
      <w:tblPr>
        <w:tblStyle w:val="9760q0"/>
        <w:tblLayout w:type="fixed"/>
      </w:tblPr>
      <w:tblGrid>
        <w:gridCol w:w="1182"/>
        <w:gridCol w:w="1740"/>
        <w:gridCol w:w="1410"/>
      </w:tblGrid>
      <w:tr>
        <w:trPr/>
        <w:tc>
          <w:tcPr>
            <w:tcW w:w="118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姓名</w:t>
            </w:r>
          </w:p>
        </w:tc>
        <w:tc>
          <w:tcPr>
            <w:tcW w:w="17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职务/职称</w:t>
            </w:r>
          </w:p>
        </w:tc>
        <w:tc>
          <w:tcPr>
            <w:tcW w:w="14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是否具有表决权</w:t>
            </w:r>
          </w:p>
        </w:tc>
      </w:tr>
      <w:tr>
        <w:trPr/>
        <w:tc>
          <w:tcPr>
            <w:tcW w:w="118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李建国</w:t>
            </w:r>
          </w:p>
        </w:tc>
        <w:tc>
          <w:tcPr>
            <w:tcW w:w="17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科研院院长、教授</w:t>
            </w:r>
          </w:p>
        </w:tc>
        <w:tc>
          <w:tcPr>
            <w:tcW w:w="14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是</w:t>
            </w:r>
          </w:p>
        </w:tc>
      </w:tr>
      <w:tr>
        <w:trPr/>
        <w:tc>
          <w:tcPr>
            <w:tcW w:w="118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张伟民</w:t>
            </w:r>
          </w:p>
        </w:tc>
        <w:tc>
          <w:tcPr>
            <w:tcW w:w="17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学术委员会主任、博导</w:t>
            </w:r>
          </w:p>
        </w:tc>
        <w:tc>
          <w:tcPr>
            <w:tcW w:w="14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是</w:t>
            </w:r>
          </w:p>
        </w:tc>
      </w:tr>
      <w:tr>
        <w:trPr/>
        <w:tc>
          <w:tcPr>
            <w:tcW w:w="118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陈红</w:t>
            </w:r>
          </w:p>
        </w:tc>
        <w:tc>
          <w:tcPr>
            <w:tcW w:w="17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财务处处长</w:t>
            </w:r>
          </w:p>
        </w:tc>
        <w:tc>
          <w:tcPr>
            <w:tcW w:w="14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是</w:t>
            </w:r>
          </w:p>
        </w:tc>
      </w:tr>
      <w:tr>
        <w:trPr/>
        <w:tc>
          <w:tcPr>
            <w:tcW w:w="118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刘志强</w:t>
            </w:r>
          </w:p>
        </w:tc>
        <w:tc>
          <w:tcPr>
            <w:tcW w:w="17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实验室主任、研究员</w:t>
            </w:r>
          </w:p>
        </w:tc>
        <w:tc>
          <w:tcPr>
            <w:tcW w:w="14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是</w:t>
            </w:r>
          </w:p>
        </w:tc>
      </w:tr>
      <w:tr>
        <w:trPr/>
        <w:tc>
          <w:tcPr>
            <w:tcW w:w="118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赵敏</w:t>
            </w:r>
          </w:p>
        </w:tc>
        <w:tc>
          <w:tcPr>
            <w:tcW w:w="17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科研管理办公室主任</w:t>
            </w:r>
          </w:p>
        </w:tc>
        <w:tc>
          <w:tcPr>
            <w:tcW w:w="14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否（列席）</w:t>
            </w:r>
          </w:p>
        </w:tc>
      </w:tr>
      <w:tr>
        <w:trPr/>
        <w:tc>
          <w:tcPr>
            <w:tcW w:w="118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吴晓峰</w:t>
            </w:r>
          </w:p>
        </w:tc>
        <w:tc>
          <w:tcPr>
            <w:tcW w:w="174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项目申请人、副教授</w:t>
            </w:r>
          </w:p>
        </w:tc>
        <w:tc>
          <w:tcPr>
            <w:tcW w:w="14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否（汇报人）</w:t>
            </w:r>
          </w:p>
        </w:tc>
      </w:tr>
    </w:tbl>
    <w:p>
      <w:pPr>
        <w:pBdr>
          <w:bottom w:val="thick" w:sz="0"/>
        </w:pBdr>
        <w:snapToGrid/>
        <w:spacing w:before="320" w:after="320" w:line="240"/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注：本次会议应到表决成员4人，实到4人，符合《科研项目管理办法》规定的决策程序要求。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bcpgy7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二、项目申报概况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根据《2025年度重点科研项目申报通知》要求，吴晓峰副教授牵头申报了题为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《基于深度学习的医学影像智能诊断算法研究》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 的科研项目，经形式审查与专家初评，提交本次会议审议。主要信息如下：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项目名称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：基于深度学习的医学影像智能诊断算法研究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项目类型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：□基础研究 ☑应用基础研究 □技术攻关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项目负责人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：吴晓峰（副教授，博士，人工智能与医疗信息方向）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承担单位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：智能医学研究中心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合作单位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：附属第一医院影像科（提供临床数据支持）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实施周期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：2025年12月1日 至 2027年11月30日（共24个月）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研究目标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：构建适用于肺结节、乳腺癌早期筛查的高精度AI诊断模型；</w:t>
      </w:r>
    </w:p>
    <w:p>
      <w:pPr>
        <w:numPr>
          <w:ilvl w:val="1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实现模型在真实临床环境下的验证与优化；</w:t>
      </w:r>
    </w:p>
    <w:p>
      <w:pPr>
        <w:numPr>
          <w:ilvl w:val="1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发表SCI论文2–3篇，申请发明专利1项，形成可转化技术原型。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经费预算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：人民币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120万元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人员费（研究生助研津贴、外聘技术人员）：30万元</w:t>
      </w:r>
    </w:p>
    <w:p>
      <w:pPr>
        <w:numPr>
          <w:ilvl w:val="1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设备购置费（GPU服务器升级）：40万元</w:t>
      </w:r>
    </w:p>
    <w:p>
      <w:pPr>
        <w:numPr>
          <w:ilvl w:val="1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材料与测试费（数据标注、模型训练耗材）：15万元</w:t>
      </w:r>
    </w:p>
    <w:p>
      <w:pPr>
        <w:numPr>
          <w:ilvl w:val="1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差旅与会议费（学术交流、临床协作）：10万元</w:t>
      </w:r>
    </w:p>
    <w:p>
      <w:pPr>
        <w:numPr>
          <w:ilvl w:val="1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出版/文献/知识产权费：8万元</w:t>
      </w:r>
    </w:p>
    <w:p>
      <w:pPr>
        <w:numPr>
          <w:ilvl w:val="1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间接费用（管理费、水电分摊等）：17万元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资金来源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：☑院级重点科研基金 □国家自然科学基金预申报 □企业合作经费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预期成果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：核心算法准确率 ≥ 92%（ROC AUC）；</w:t>
      </w:r>
    </w:p>
    <w:p>
      <w:pPr>
        <w:numPr>
          <w:ilvl w:val="1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完成不少于500例临床数据验证；</w:t>
      </w:r>
    </w:p>
    <w:p>
      <w:pPr>
        <w:numPr>
          <w:ilvl w:val="1"/>
          <w:numId w:val="1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形成可集成至医院PACS系统的软件模块原型。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tji3ml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三、专家评审意见摘要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张伟民教授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：选题具有前沿性和临床应用价值，技术路线清晰，团队具备AI与医学交叉背景，建议加强数据隐私保护机制设计。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刘志强研究员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：设备预算合理，GPU资源为关键支撑，建议优先采购国产化高性能计算设备。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陈红处长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：经费结构符合科研经费管理规定，间接费用占比合规，建议分阶段拨付，强化过程监管。</w:t>
      </w:r>
    </w:p>
    <w:p>
      <w:pPr>
        <w:numPr>
          <w:ilvl w:val="0"/>
          <w:numId w:val="2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李建国院长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：该项目契合“智慧医疗”战略方向，具备成果转化潜力，建议纳入年度重点培育项目。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hpd3u2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四、决议内容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经全体与会成员充分讨论并投票表决，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一致通过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以下决议：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✅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一、批准立项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同意将《基于深度学习的医学影像智能诊断算法研究》项目列为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2025年度院级重点科研项目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，正式立项实施。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✅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二、确定项目负责人</w:t>
      </w:r>
    </w:p>
    <w:p>
      <w:pPr>
        <w:pBdr/>
        <w:snapToGrid/>
        <w:spacing w:before="320" w:after="320" w:line="240"/>
        <w:ind w:left="0" w:right="0" w:hanging="0"/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任命吴晓峰副教授为项目负责人，全面负责项目的研究计划制定、团队组织、经费使用与成果产出。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✅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三、批准经费支持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批准项目总经费为人民币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壹佰贰拾万元整（￥1,200,000.00）</w:t>
      </w: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，从“2025年度重点科研基金”中列支，按以下方式拨付：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首期款50%（￥600,000.00）于合同签订后10个工作日内拨付；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中期款30%（￥360,000.00）于中期评估通过后拨付；</w:t>
      </w:r>
    </w:p>
    <w:p>
      <w:pPr>
        <w:numPr>
          <w:ilvl w:val="0"/>
          <w:numId w:val="3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尾款20%（￥240,000.00）于项目结题验收合格后拨付。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✅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四、建立监督机制</w:t>
      </w:r>
    </w:p>
    <w:p>
      <w:pPr>
        <w:pBdr/>
        <w:snapToGrid/>
        <w:spacing w:before="320" w:after="320" w:line="240"/>
        <w:ind w:left="0" w:right="0" w:hanging="0"/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由科研管理办公室牵头，每6个月组织一次进度检查，项目负责人须提交《中期进展报告》和《经费使用情况表》。重大技术调整或经费变更须报科研院审批。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✅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五、成果管理要求</w:t>
      </w:r>
    </w:p>
    <w:p>
      <w:pPr>
        <w:pBdr/>
        <w:snapToGrid/>
        <w:spacing w:before="320" w:after="320" w:line="240"/>
        <w:ind w:left="0" w:right="0" w:hanging="0"/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项目所取得的论文、专利、软件著作权等知识产权归本单位所有，标注资助来源。研究成果应积极申报更高层次项目（如国家自然科学基金）。</w:t>
      </w:r>
    </w:p>
    <w:p>
      <w:pPr>
        <w:pBdr>
          <w:bottom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 xml:space="preserve">✅ </w:t>
      </w: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六、完成与验收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项目须在2027年11月30日前完成全部研究任务，并提交《结题报告》及相关成果证明材料，由学术委员会组织验收。</w:t>
      </w:r>
    </w:p>
    <w:p>
      <w:pPr>
        <w:pStyle w:val="3ikhc1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五、附件清单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《科研项目立项申请书》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《经费预算明细表》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《项目研究计划书（含技术路线图）》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《合作单位支持函》</w:t>
      </w:r>
    </w:p>
    <w:p>
      <w:pPr>
        <w:numPr>
          <w:ilvl w:val="0"/>
          <w:numId w:val="4"/>
        </w:numPr>
        <w:pBdr>
          <w:bottom w:val="thick" w:sz="0"/>
        </w:pBdr>
        <w:snapToGrid/>
        <w:spacing w:before="160" w:after="160" w:line="240"/>
        <w:ind/>
        <w:jc w:val="left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专家评审意见汇总</w:t>
      </w:r>
    </w:p>
    <w:p>
      <w:pPr>
        <w:pBdr>
          <w:bottom w:val="thick" w:color="000000" w:sz="8"/>
        </w:pBdr>
        <w:ind/>
        <w:rPr>
          <w:color w:val="000000"/>
          <w:shd w:val="clear" w:color="auto" w:fill="FFFFFF"/>
        </w:rPr>
      </w:pPr>
    </w:p>
    <w:p>
      <w:pPr>
        <w:pStyle w:val="o2biwc"/>
        <w:pBdr>
          <w:bottom w:val="thick" w:sz="0"/>
        </w:pBdr>
        <w:snapToGrid/>
        <w:spacing w:before="183" w:after="183" w:line="427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1"/>
          <w:sz w:val="37"/>
          <w:u w:val="none"/>
          <w:shd w:val="clear" w:color="auto" w:fill="FFFFFF"/>
        </w:rPr>
        <w:t>六、签署栏</w:t>
      </w:r>
    </w:p>
    <w:p>
      <w:pPr>
        <w:pBdr>
          <w:bottom w:val="thick" w:sz="0"/>
        </w:pBdr>
        <w:snapToGrid/>
        <w:spacing w:before="320" w:after="320" w:line="240"/>
        <w:ind w:left="0" w:right="0" w:hanging="0"/>
        <w:rPr>
          <w:color w:val="000000"/>
          <w:shd w:val="clear" w:color="auto" w:fill="FFFFFF"/>
        </w:rPr>
      </w:pPr>
      <w:r>
        <w:rPr>
          <w:rFonts w:ascii="-apple-system" w:hAnsi="-apple-system" w:eastAsia="-apple-system" w:cs="-apple-system"/>
          <w:i w:val="false"/>
          <w:strike w:val="false"/>
          <w:color w:val="000000"/>
          <w:spacing w:val="1"/>
          <w:sz w:val="24"/>
          <w:u w:val="none"/>
          <w:shd w:val="clear" w:color="auto" w:fill="FFFFFF"/>
        </w:rPr>
        <w:t>本决议经合法程序审议通过，自签署之日起生效，作为项目执行与经费拨付的依据。</w:t>
      </w:r>
    </w:p>
    <w:tbl>
      <w:tblPr>
        <w:tblStyle w:val="a9e336"/>
        <w:tblLayout w:type="fixed"/>
      </w:tblPr>
      <w:tblGrid>
        <w:gridCol w:w="1129"/>
        <w:gridCol w:w="1129"/>
        <w:gridCol w:w="3364"/>
        <w:gridCol w:w="1668"/>
      </w:tblGrid>
      <w:tr>
        <w:trPr>
          <w:trHeight w:val="1182"/>
        </w:trPr>
        <w:tc>
          <w:tcPr>
            <w:tcW w:w="112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姓名</w:t>
            </w:r>
          </w:p>
        </w:tc>
        <w:tc>
          <w:tcPr>
            <w:tcW w:w="112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职务</w:t>
            </w:r>
          </w:p>
        </w:tc>
        <w:tc>
          <w:tcPr>
            <w:tcW w:w="33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签字</w:t>
            </w:r>
          </w:p>
        </w:tc>
        <w:tc>
          <w:tcPr>
            <w:tcW w:w="166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b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日期</w:t>
            </w:r>
          </w:p>
        </w:tc>
      </w:tr>
      <w:tr>
        <w:trPr>
          <w:trHeight w:val="2415"/>
        </w:trPr>
        <w:tc>
          <w:tcPr>
            <w:tcW w:w="112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李建国</w:t>
            </w:r>
          </w:p>
        </w:tc>
        <w:tc>
          <w:tcPr>
            <w:tcW w:w="112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科研院院长</w:t>
            </w:r>
          </w:p>
        </w:tc>
        <w:tc>
          <w:tcPr>
            <w:tcW w:w="33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___________</w:t>
            </w:r>
          </w:p>
        </w:tc>
        <w:tc>
          <w:tcPr>
            <w:tcW w:w="166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2025年11月1日</w:t>
            </w:r>
          </w:p>
        </w:tc>
      </w:tr>
      <w:tr>
        <w:trPr>
          <w:trHeight w:val="3237"/>
        </w:trPr>
        <w:tc>
          <w:tcPr>
            <w:tcW w:w="112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张伟民</w:t>
            </w:r>
          </w:p>
        </w:tc>
        <w:tc>
          <w:tcPr>
            <w:tcW w:w="112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学术委员会主任</w:t>
            </w:r>
          </w:p>
        </w:tc>
        <w:tc>
          <w:tcPr>
            <w:tcW w:w="33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___________</w:t>
            </w:r>
          </w:p>
        </w:tc>
        <w:tc>
          <w:tcPr>
            <w:tcW w:w="166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2025年11月1日</w:t>
            </w:r>
          </w:p>
        </w:tc>
      </w:tr>
      <w:tr>
        <w:trPr>
          <w:trHeight w:val="2415"/>
        </w:trPr>
        <w:tc>
          <w:tcPr>
            <w:tcW w:w="112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陈红</w:t>
            </w:r>
          </w:p>
        </w:tc>
        <w:tc>
          <w:tcPr>
            <w:tcW w:w="112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财务处处长</w:t>
            </w:r>
          </w:p>
        </w:tc>
        <w:tc>
          <w:tcPr>
            <w:tcW w:w="33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___________</w:t>
            </w:r>
          </w:p>
        </w:tc>
        <w:tc>
          <w:tcPr>
            <w:tcW w:w="166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2025年11月1日</w:t>
            </w:r>
          </w:p>
        </w:tc>
      </w:tr>
      <w:tr>
        <w:trPr>
          <w:trHeight w:val="2415"/>
        </w:trPr>
        <w:tc>
          <w:tcPr>
            <w:tcW w:w="112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刘志强</w:t>
            </w:r>
          </w:p>
        </w:tc>
        <w:tc>
          <w:tcPr>
            <w:tcW w:w="112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实验室主任</w:t>
            </w:r>
          </w:p>
        </w:tc>
        <w:tc>
          <w:tcPr>
            <w:tcW w:w="336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___________</w:t>
            </w:r>
          </w:p>
        </w:tc>
        <w:tc>
          <w:tcPr>
            <w:tcW w:w="166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color w:val="000000"/>
                <w:shd w:val="clear" w:color="auto" w:fill="FFFFFF"/>
              </w:rPr>
            </w:pPr>
            <w:r>
              <w:rPr>
                <w:rFonts w:ascii="-apple-system" w:hAnsi="-apple-system" w:eastAsia="-apple-system" w:cs="-apple-system"/>
                <w:i w:val="false"/>
                <w:strike w:val="false"/>
                <w:color w:val="000000"/>
                <w:spacing w:val="1"/>
                <w:sz w:val="24"/>
                <w:u w:val="none"/>
                <w:shd w:val="clear" w:color="auto" w:fill="FFFFFF"/>
              </w:rPr>
              <w:t>2025年11月1日</w:t>
            </w:r>
          </w:p>
        </w:tc>
      </w:tr>
    </w:tbl>
    <w:p>
      <w:pPr>
        <w:pStyle w:val="rdbvau"/>
        <w:numPr/>
        <w:jc w:val="left"/>
        <w:rPr>
          <w:color w:val="000000"/>
          <w:shd w:val="clear" w:color="auto" w:fill="FFFFFF"/>
        </w:rPr>
      </w:pPr>
    </w:p>
    <w:p>
      <w:pPr>
        <w:pStyle w:val="ablt93"/>
        <w:rPr>
          <w:color w:val="000000"/>
          <w:shd w:val="clear" w:color="auto" w:fill="FFFFFF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2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3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4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num w:numId="2">
    <w:abstractNumId w:val="4"/>
  </w:num>
  <w:num w:numId="4">
    <w:abstractNumId w:val="3"/>
  </w:num>
  <w:num w:numId="3">
    <w:abstractNumId w:val="1"/>
  </w:num>
  <w:num w:numId="1">
    <w:abstractNumId w:val="2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9760q0">
    <w:name w:val="Table Grid"/>
    <w:basedOn w:val="g1betw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ablt93" w:default="true">
    <w:name w:val="Normal"/>
    <w:pPr>
      <w:widowControl w:val="false"/>
      <w:jc w:val="left"/>
    </w:pPr>
  </w:style>
  <w:style w:type="table" w:styleId="g1betw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4tjh0s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hpd3u2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bcpgy7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o2biwc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akw4f9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a9e336">
    <w:name w:val="Table Grid"/>
    <w:basedOn w:val="sjhlmz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3ikhc1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sjhlmz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ji3ml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2025-11-04T17:52:04Z</dcterms:created>
  <dcterms:modified xsi:type="dcterms:W3CDTF">2025-11-04T17:52:04Z</dcterms:modified>
</cp:coreProperties>
</file>