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fwgh90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项目计划任务书</w:t>
      </w:r>
    </w:p>
    <w:p>
      <w:pPr>
        <w:pStyle w:val="89kzcs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一、项目基本信息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项目名称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：基于深度学习的医学影像智能诊断算法研究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项目编号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：KY-JH-[年份]-[序号]（例：KY-JH-2025-003）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承担单位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：智能医学研究中心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合作单位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：附属第一医院影像科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项目负责人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：吴晓峰 副教授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联系电话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：13800000000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电子邮箱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：wuxf@example.com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立项时间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：2025年11月1日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预计完成时间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：2027年11月30日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总经费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：人民币壹佰贰拾万元整（￥1,200,000.00）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tl1rqc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二、项目概述</w:t>
      </w:r>
    </w:p>
    <w:p>
      <w:pPr>
        <w:pStyle w:val="few5lo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项目背景与意义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随着人工智能技术的发展，深度学习在医学影像分析中的应用日益广泛。本项目旨在通过构建高精度的AI诊断模型，提高肺结节和乳腺癌早期筛查的准确率，减轻医生工作负担，提升医疗服务效率和质量。</w:t>
      </w:r>
    </w:p>
    <w:p>
      <w:pPr>
        <w:pStyle w:val="9ol66j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研究目标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构建适用于肺结节、乳腺癌早期筛查的高精度AI诊断模型；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实现模型在真实临床环境下的验证与优化；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发表SCI论文2–3篇，申请发明专利1项，形成可转化技术原型。</w:t>
      </w:r>
    </w:p>
    <w:p>
      <w:pPr>
        <w:pStyle w:val="bxbb4k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预期成果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核心算法准确率 ≥ 92%（ROC AUC）；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完成不少于500例临床数据验证；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形成可集成至医院PACS系统的软件模块原型；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提交完整的项目结题报告及相关技术文档。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wh8gxm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三、主要研究内容</w:t>
      </w:r>
    </w:p>
    <w:p>
      <w:pPr>
        <w:pStyle w:val="z1pdq9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章节一：数据收集与预处理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小节标题1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：从附属第一医院获取并整理多源医学影像数据。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小节标题2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：对原始数据进行清洗、标注与标准化处理。</w:t>
      </w:r>
    </w:p>
    <w:p>
      <w:pPr>
        <w:pStyle w:val="n0juvk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章节二：模型设计与开发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小节标题1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：选择合适的深度学习框架（如TensorFlow或PyTorch），搭建基础模型架构。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小节标题2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：设计并实现多种改进算法，提升模型的鲁棒性和泛化能力。</w:t>
      </w:r>
    </w:p>
    <w:p>
      <w:pPr>
        <w:numPr>
          <w:ilvl w:val="0"/>
          <w:numId w:val="5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小节标题3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：针对不同类型的医学影像（如CT、MRI）进行专项优化。</w:t>
      </w:r>
    </w:p>
    <w:p>
      <w:pPr>
        <w:pStyle w:val="k8zpiu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章节三：模型训练与验证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小节标题1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：利用GPU集群进行大规模数据集的模型训练。</w:t>
      </w:r>
    </w:p>
    <w:p>
      <w:pPr>
        <w:numPr>
          <w:ilvl w:val="0"/>
          <w:numId w:val="6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小节标题2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：采用交叉验证方法评估模型性能，并根据反馈进行迭代优化。</w:t>
      </w:r>
    </w:p>
    <w:p>
      <w:pPr>
        <w:pStyle w:val="wukyg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章节四：系统集成与部署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小节标题1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：将训练好的模型集成到现有的医院PACS系统中，确保无缝对接。</w:t>
      </w:r>
    </w:p>
    <w:p>
      <w:pPr>
        <w:numPr>
          <w:ilvl w:val="0"/>
          <w:numId w:val="7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小节标题2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：在附属第一医院进行初步测试，收集用户反馈并进行必要的调整。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fldfds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四、实施进度安排</w:t>
      </w:r>
    </w:p>
    <w:tbl>
      <w:tblPr>
        <w:tblStyle w:val="90b40x"/>
        <w:tblLayout w:type="fixed"/>
      </w:tblPr>
      <w:tblGrid>
        <w:gridCol w:w="750"/>
        <w:gridCol w:w="1275"/>
        <w:gridCol w:w="930"/>
        <w:gridCol w:w="1065"/>
      </w:tblGrid>
      <w:tr>
        <w:trPr/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阶段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时间区间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主要任务</w:t>
            </w:r>
          </w:p>
        </w:tc>
        <w:tc>
          <w:tcPr>
            <w:tcW w:w="10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负责人</w:t>
            </w:r>
          </w:p>
        </w:tc>
      </w:tr>
      <w:tr>
        <w:trPr/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准备阶段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2025年12月 – 2026年1月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数据收集与预处理</w:t>
            </w:r>
          </w:p>
        </w:tc>
        <w:tc>
          <w:tcPr>
            <w:tcW w:w="10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吴晓峰</w:t>
            </w:r>
          </w:p>
        </w:tc>
      </w:tr>
      <w:tr>
        <w:trPr/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开发阶段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2026年2月 – 2026年7月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模型设计与开发</w:t>
            </w:r>
          </w:p>
        </w:tc>
        <w:tc>
          <w:tcPr>
            <w:tcW w:w="10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刘明（博士生）</w:t>
            </w:r>
          </w:p>
        </w:tc>
      </w:tr>
      <w:tr>
        <w:trPr/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验证阶段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2026年8月 – 2026年12月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模型训练与验证</w:t>
            </w:r>
          </w:p>
        </w:tc>
        <w:tc>
          <w:tcPr>
            <w:tcW w:w="10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张丽（研究生）</w:t>
            </w:r>
          </w:p>
        </w:tc>
      </w:tr>
      <w:tr>
        <w:trPr/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部署阶段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2027年1月 – 2027年6月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系统集成与部署</w:t>
            </w:r>
          </w:p>
        </w:tc>
        <w:tc>
          <w:tcPr>
            <w:tcW w:w="10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李华（工程师）</w:t>
            </w:r>
          </w:p>
        </w:tc>
      </w:tr>
      <w:tr>
        <w:trPr/>
        <w:tc>
          <w:tcPr>
            <w:tcW w:w="7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总结阶段</w:t>
            </w:r>
          </w:p>
        </w:tc>
        <w:tc>
          <w:tcPr>
            <w:tcW w:w="12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2027年7月 – 2027年11月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结题验收与成果转化</w:t>
            </w:r>
          </w:p>
        </w:tc>
        <w:tc>
          <w:tcPr>
            <w:tcW w:w="106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吴晓峰</w:t>
            </w: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77fhte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五、经费预算明细</w:t>
      </w:r>
    </w:p>
    <w:tbl>
      <w:tblPr>
        <w:tblStyle w:val="zphczf"/>
        <w:tblLayout w:type="fixed"/>
      </w:tblPr>
      <w:tblGrid>
        <w:gridCol w:w="630"/>
        <w:gridCol w:w="1470"/>
        <w:gridCol w:w="1260"/>
        <w:gridCol w:w="630"/>
      </w:tblGrid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序号</w:t>
            </w:r>
          </w:p>
        </w:tc>
        <w:tc>
          <w:tcPr>
            <w:tcW w:w="14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经费项目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金额（元）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备注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</w:t>
            </w:r>
          </w:p>
        </w:tc>
        <w:tc>
          <w:tcPr>
            <w:tcW w:w="14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人员费（助研津贴、外聘技术人员）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300,000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包括学生补助及专家咨询费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</w:t>
            </w:r>
          </w:p>
        </w:tc>
        <w:tc>
          <w:tcPr>
            <w:tcW w:w="14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设备购置费（GPU服务器升级）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400,000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采购国产高性能计算设备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3</w:t>
            </w:r>
          </w:p>
        </w:tc>
        <w:tc>
          <w:tcPr>
            <w:tcW w:w="14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材料与测试费（数据标注、模型训练耗材）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150,000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包括实验材料及测试费用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4</w:t>
            </w:r>
          </w:p>
        </w:tc>
        <w:tc>
          <w:tcPr>
            <w:tcW w:w="14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差旅与会议费（学术交流、临床协作）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100,000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参加国内外相关学术会议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5</w:t>
            </w:r>
          </w:p>
        </w:tc>
        <w:tc>
          <w:tcPr>
            <w:tcW w:w="14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出版/文献/知识产权费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80,000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发表论文及申请专利费用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6</w:t>
            </w:r>
          </w:p>
        </w:tc>
        <w:tc>
          <w:tcPr>
            <w:tcW w:w="14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间接费用（管理费、水电分摊等）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170,000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按规定比例计提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合计</w:t>
            </w:r>
          </w:p>
        </w:tc>
        <w:tc>
          <w:tcPr>
            <w:tcW w:w="14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1,200,000</w:t>
            </w:r>
          </w:p>
        </w:tc>
        <w:tc>
          <w:tcPr>
            <w:tcW w:w="12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——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</w:p>
        </w:tc>
      </w:tr>
    </w:tbl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07mi2y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六、考核指标与验收标准</w:t>
      </w:r>
    </w:p>
    <w:p>
      <w:pPr>
        <w:pStyle w:val="ciana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考核指标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  <w:vertAlign w:val="baseline"/>
        </w:rPr>
        <w:t>技术指标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核心算法准确率达到或超过92%（ROC AUC）；</w:t>
      </w:r>
    </w:p>
    <w:p>
      <w:pPr>
        <w:numPr>
          <w:ilvl w:val="1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完成不少于500例临床数据验证；</w:t>
      </w:r>
    </w:p>
    <w:p>
      <w:pPr>
        <w:numPr>
          <w:ilvl w:val="1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形成可集成至医院PACS系统的软件模块原型。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  <w:vertAlign w:val="baseline"/>
        </w:rPr>
        <w:t>学术指标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在国际知名期刊上发表SCI论文2–3篇；</w:t>
      </w:r>
    </w:p>
    <w:p>
      <w:pPr>
        <w:numPr>
          <w:ilvl w:val="1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申请国家发明专利1项。</w:t>
      </w:r>
    </w:p>
    <w:p>
      <w:pPr>
        <w:numPr>
          <w:ilvl w:val="0"/>
          <w:numId w:val="8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  <w:vertAlign w:val="baseline"/>
        </w:rPr>
        <w:t>成果转化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将研究成果转化为实际应用，提供给附属第一医院试用，并收集反馈意见。</w:t>
      </w:r>
    </w:p>
    <w:p>
      <w:pPr>
        <w:pStyle w:val="ne4r8t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2"/>
          <w:u w:val="none"/>
          <w:shd w:val="clear" w:color="auto" w:fill="FFFFFF"/>
        </w:rPr>
        <w:t>验收标准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项目负责人须提交《结题报告》，详细说明各项任务的完成情况；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所有预期成果均需经过第三方机构或专家评审确认；</w:t>
      </w:r>
    </w:p>
    <w:p>
      <w:pPr>
        <w:numPr>
          <w:ilvl w:val="0"/>
          <w:numId w:val="9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项目经费使用合理合规，无重大违规行为。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r8xlmy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七、签署栏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本任务书经合法程序审议通过，自签署之日起生效，作为项目执行与经费拨付的依据。</w:t>
      </w:r>
    </w:p>
    <w:tbl>
      <w:tblPr>
        <w:tblStyle w:val="ryxr7x"/>
        <w:tblLayout w:type="fixed"/>
      </w:tblPr>
      <w:tblGrid>
        <w:gridCol w:w="630"/>
        <w:gridCol w:w="630"/>
        <w:gridCol w:w="1875"/>
        <w:gridCol w:w="930"/>
      </w:tblGrid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姓名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职务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签字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日期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李建国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科研院院长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2025年11月1日</w:t>
            </w:r>
          </w:p>
        </w:tc>
      </w:tr>
      <w:tr>
        <w:trPr/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吴晓峰</w:t>
            </w:r>
          </w:p>
        </w:tc>
        <w:tc>
          <w:tcPr>
            <w:tcW w:w="6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项目负责人</w:t>
            </w:r>
          </w:p>
        </w:tc>
        <w:tc>
          <w:tcPr>
            <w:tcW w:w="18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93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2025年11月1日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（单位公章）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Bdr>
          <w:bottom w:val="thick" w:sz="0"/>
        </w:pBdr>
        <w:snapToGrid/>
        <w:spacing w:before="0" w:after="320" w:line="240"/>
        <w:ind w:left="0" w:right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📌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备注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本任务书一式四份，分别由科研院、财务处、项目负责人、档案室存档。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项目负责人须在立项后15日内签订本任务书，明确考核指标。</w:t>
      </w:r>
    </w:p>
    <w:p>
      <w:pPr>
        <w:numPr>
          <w:ilvl w:val="0"/>
          <w:numId w:val="10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未按计划推进或经费使用不当的，科研院有权暂停或终止资助。</w:t>
      </w:r>
    </w:p>
    <w:p>
      <w:pPr>
        <w:snapToGrid/>
        <w:spacing w:line="240"/>
        <w:ind/>
        <w:rPr>
          <w:color w:val="000000"/>
          <w:shd w:val="clear" w:color="auto" w:fill="FFFFFF"/>
        </w:rPr>
      </w:pPr>
    </w:p>
    <w:p>
      <w:pPr>
        <w:pStyle w:val="rdbvau"/>
        <w:numPr/>
        <w:jc w:val="left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9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num w:numId="4">
    <w:abstractNumId w:val="10"/>
  </w:num>
  <w:num w:numId="1">
    <w:abstractNumId w:val="5"/>
  </w:num>
  <w:num w:numId="9">
    <w:abstractNumId w:val="4"/>
  </w:num>
  <w:num w:numId="8">
    <w:abstractNumId w:val="3"/>
  </w:num>
  <w:num w:numId="2">
    <w:abstractNumId w:val="1"/>
  </w:num>
  <w:num w:numId="3">
    <w:abstractNumId w:val="9"/>
  </w:num>
  <w:num w:numId="10">
    <w:abstractNumId w:val="2"/>
  </w:num>
  <w:num w:numId="7">
    <w:abstractNumId w:val="7"/>
  </w:num>
  <w:num w:numId="6">
    <w:abstractNumId w:val="6"/>
  </w:num>
  <w:num w:numId="5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90b40x">
    <w:name w:val="Table Grid"/>
    <w:basedOn w:val="16q6j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xbb4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wgh90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zphczf">
    <w:name w:val="Table Grid"/>
    <w:basedOn w:val="pb12ds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ciana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16q6j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8zpi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7fht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9ol66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9kzc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wukyg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1pdq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l1rq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8xlm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ne4r8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pb12ds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ldfd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few5l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7mi2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wpsrx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table" w:styleId="ryxr7x">
    <w:name w:val="Table Grid"/>
    <w:basedOn w:val="wpsrx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0juv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h8gxm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2025-11-04T17:52:34Z</dcterms:created>
  <dcterms:modified xsi:type="dcterms:W3CDTF">2025-11-04T17:52:34Z</dcterms:modified>
</cp:coreProperties>
</file>