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BA9" w:rsidRDefault="0081575F">
      <w:r>
        <w:t>Lindsay Sheppard</w:t>
      </w:r>
    </w:p>
    <w:p w:rsidR="0081575F" w:rsidRDefault="0081575F">
      <w:r>
        <w:t>SOC-565: Demography</w:t>
      </w:r>
    </w:p>
    <w:p w:rsidR="008F430E" w:rsidRDefault="0081575F">
      <w:r>
        <w:t xml:space="preserve">Demography </w:t>
      </w:r>
      <w:r w:rsidR="008F430E">
        <w:t>Report 3</w:t>
      </w:r>
    </w:p>
    <w:p w:rsidR="00291B79" w:rsidRDefault="00291B79"/>
    <w:p w:rsidR="008F430E" w:rsidRDefault="008F430E">
      <w:pPr>
        <w:rPr>
          <w:b/>
        </w:rPr>
      </w:pPr>
      <w:r w:rsidRPr="008F430E">
        <w:rPr>
          <w:b/>
        </w:rPr>
        <w:t>Overview</w:t>
      </w:r>
    </w:p>
    <w:p w:rsidR="00E315A7" w:rsidRDefault="008F430E" w:rsidP="00A9421D">
      <w:pPr>
        <w:spacing w:line="360" w:lineRule="auto"/>
        <w:contextualSpacing/>
      </w:pPr>
      <w:r>
        <w:rPr>
          <w:b/>
        </w:rPr>
        <w:tab/>
      </w:r>
      <w:r w:rsidR="009D295B" w:rsidRPr="00040E0D">
        <w:t xml:space="preserve">Urbanization is </w:t>
      </w:r>
      <w:r w:rsidR="00040E0D">
        <w:t xml:space="preserve">often </w:t>
      </w:r>
      <w:r w:rsidR="009D295B" w:rsidRPr="00040E0D">
        <w:t>considered the movement of populations from rural to urban areas</w:t>
      </w:r>
      <w:r w:rsidR="00DC7024">
        <w:t xml:space="preserve">; </w:t>
      </w:r>
      <w:r w:rsidR="005F7FB2">
        <w:t>a</w:t>
      </w:r>
      <w:r w:rsidR="00040E0D" w:rsidRPr="00040E0D">
        <w:t>s a concept, it is</w:t>
      </w:r>
      <w:r w:rsidR="00040E0D">
        <w:rPr>
          <w:b/>
        </w:rPr>
        <w:t xml:space="preserve"> </w:t>
      </w:r>
      <w:r>
        <w:t>somewhat difficult to define</w:t>
      </w:r>
      <w:r w:rsidR="00706400">
        <w:t xml:space="preserve"> </w:t>
      </w:r>
      <w:r w:rsidR="005F7FB2">
        <w:t>because</w:t>
      </w:r>
      <w:r w:rsidR="00E315A7">
        <w:t xml:space="preserve"> </w:t>
      </w:r>
      <w:r>
        <w:t>there is no standard international definition of an ‘urban’ area or ‘urban’ population</w:t>
      </w:r>
      <w:r w:rsidR="00E315A7">
        <w:t xml:space="preserve"> </w:t>
      </w:r>
      <w:r>
        <w:t>(Deuskar, 2015).</w:t>
      </w:r>
      <w:r w:rsidR="00593BC3">
        <w:t xml:space="preserve"> </w:t>
      </w:r>
      <w:r w:rsidR="00E315A7">
        <w:t>Each country defines urban differently</w:t>
      </w:r>
      <w:r w:rsidR="00DC7024">
        <w:t>.</w:t>
      </w:r>
      <w:r w:rsidR="00E315A7">
        <w:t xml:space="preserve"> </w:t>
      </w:r>
      <w:r w:rsidR="00DC7024">
        <w:t>T</w:t>
      </w:r>
      <w:r w:rsidR="00E315A7">
        <w:t>o define a “city”, the most frequently used minimum threshold values amongst world nations are 2,000 or 5,000 persons</w:t>
      </w:r>
      <w:r w:rsidR="00040E0D">
        <w:t xml:space="preserve"> </w:t>
      </w:r>
      <w:r w:rsidR="00E315A7">
        <w:t xml:space="preserve">(Deuskar, 2015). The </w:t>
      </w:r>
      <w:r w:rsidR="00450156">
        <w:t xml:space="preserve">operational definition for the current report will use the </w:t>
      </w:r>
      <w:r w:rsidR="00E315A7">
        <w:t>World Bank</w:t>
      </w:r>
      <w:r w:rsidR="00DC7024">
        <w:t xml:space="preserve"> (2009) </w:t>
      </w:r>
      <w:r w:rsidR="00E315A7">
        <w:t>World Development Report</w:t>
      </w:r>
      <w:r w:rsidR="00450156">
        <w:t xml:space="preserve">’s approach, </w:t>
      </w:r>
      <w:r w:rsidR="00291B79">
        <w:t xml:space="preserve">originally </w:t>
      </w:r>
      <w:r w:rsidR="00450156">
        <w:t>proposed by Chomitz, Buys, and Thomas (2005)</w:t>
      </w:r>
      <w:r w:rsidR="00482AC0">
        <w:t>, who</w:t>
      </w:r>
      <w:r w:rsidR="00291B79">
        <w:t xml:space="preserve"> </w:t>
      </w:r>
      <w:r w:rsidR="00450156">
        <w:t>argued that rurality is a gradien</w:t>
      </w:r>
      <w:r w:rsidR="00040E0D">
        <w:t>t and</w:t>
      </w:r>
      <w:r w:rsidR="00482AC0">
        <w:t xml:space="preserve"> </w:t>
      </w:r>
      <w:r w:rsidR="00450156">
        <w:t>a multidimensional concept</w:t>
      </w:r>
      <w:r w:rsidR="00482AC0">
        <w:t xml:space="preserve">, </w:t>
      </w:r>
      <w:r w:rsidR="00450156">
        <w:t>not a dichotomy, with low population density and remoteness from large cities being the two most useful indicators of rurality.</w:t>
      </w:r>
      <w:r w:rsidR="00482AC0">
        <w:t xml:space="preserve"> </w:t>
      </w:r>
    </w:p>
    <w:p w:rsidR="006B0885" w:rsidRDefault="00482AC0" w:rsidP="00A9421D">
      <w:pPr>
        <w:spacing w:line="360" w:lineRule="auto"/>
        <w:contextualSpacing/>
      </w:pPr>
      <w:r>
        <w:tab/>
        <w:t xml:space="preserve">Based on </w:t>
      </w:r>
      <w:r w:rsidR="006F5E11">
        <w:t>this</w:t>
      </w:r>
      <w:r>
        <w:t xml:space="preserve"> definition, </w:t>
      </w:r>
      <w:r w:rsidR="006B0885">
        <w:t xml:space="preserve">many </w:t>
      </w:r>
      <w:r>
        <w:t xml:space="preserve">rural areas may </w:t>
      </w:r>
      <w:r w:rsidR="006F5E11">
        <w:t>experience reduced</w:t>
      </w:r>
      <w:r>
        <w:t xml:space="preserve"> access to important resources</w:t>
      </w:r>
      <w:r w:rsidR="006B0885">
        <w:t xml:space="preserve"> </w:t>
      </w:r>
      <w:r>
        <w:t>such as education. Educational attainment is perhaps one of the most important factors influencing the social stability, economic success, and overall well-being of a location</w:t>
      </w:r>
      <w:r w:rsidR="00706400">
        <w:t>. A</w:t>
      </w:r>
      <w:r w:rsidR="006B0885">
        <w:t xml:space="preserve">reas with more highly educated people have lower crime rates, lower rates of obesity and smoking, better overall health, higher incomes, and higher levels of economic development </w:t>
      </w:r>
      <w:r>
        <w:t>(Florida, 2018)</w:t>
      </w:r>
      <w:r w:rsidR="006B0885">
        <w:t xml:space="preserve">. </w:t>
      </w:r>
    </w:p>
    <w:p w:rsidR="00291B79" w:rsidRPr="008F430E" w:rsidRDefault="006B0885" w:rsidP="00A9421D">
      <w:pPr>
        <w:spacing w:line="360" w:lineRule="auto"/>
        <w:contextualSpacing/>
      </w:pPr>
      <w:r>
        <w:tab/>
        <w:t>To understand the connection between urbanization and educational attainment,</w:t>
      </w:r>
      <w:r w:rsidR="004F7865">
        <w:t xml:space="preserve"> </w:t>
      </w:r>
      <w:r>
        <w:t xml:space="preserve">the </w:t>
      </w:r>
      <w:r w:rsidR="004F7865">
        <w:t xml:space="preserve">data </w:t>
      </w:r>
      <w:r>
        <w:t xml:space="preserve">file </w:t>
      </w:r>
      <w:r w:rsidR="00706400">
        <w:t>“</w:t>
      </w:r>
      <w:r w:rsidRPr="00706400">
        <w:t>wdi.sav</w:t>
      </w:r>
      <w:r w:rsidR="00706400">
        <w:t>”</w:t>
      </w:r>
      <w:r w:rsidR="004F7865">
        <w:t xml:space="preserve"> analyzed the relationship between two variables: </w:t>
      </w:r>
      <w:r w:rsidR="00317DA4" w:rsidRPr="006438E9">
        <w:rPr>
          <w:i/>
        </w:rPr>
        <w:t>@2010.</w:t>
      </w:r>
      <w:r w:rsidR="004F7865" w:rsidRPr="006438E9">
        <w:rPr>
          <w:i/>
        </w:rPr>
        <w:t>1265</w:t>
      </w:r>
      <w:r w:rsidR="004F7865">
        <w:t xml:space="preserve">, or, </w:t>
      </w:r>
      <w:r w:rsidR="004F7865">
        <w:rPr>
          <w:i/>
        </w:rPr>
        <w:t>Urban population (% of total)</w:t>
      </w:r>
      <w:r w:rsidR="004F7865">
        <w:t xml:space="preserve"> and </w:t>
      </w:r>
      <w:r w:rsidR="00317DA4" w:rsidRPr="006438E9">
        <w:rPr>
          <w:i/>
        </w:rPr>
        <w:t>@2010.</w:t>
      </w:r>
      <w:r w:rsidR="004F7865" w:rsidRPr="006438E9">
        <w:rPr>
          <w:i/>
        </w:rPr>
        <w:t>1115</w:t>
      </w:r>
      <w:r w:rsidR="004F7865">
        <w:t xml:space="preserve">, or, </w:t>
      </w:r>
      <w:r w:rsidR="004F7865">
        <w:rPr>
          <w:i/>
        </w:rPr>
        <w:t>School enrollment, tertiary (% gross)</w:t>
      </w:r>
      <w:r w:rsidR="00EC7CC3">
        <w:rPr>
          <w:i/>
        </w:rPr>
        <w:t xml:space="preserve">; </w:t>
      </w:r>
      <w:r w:rsidR="00EC7CC3">
        <w:t xml:space="preserve">the variables were referred to as </w:t>
      </w:r>
      <w:r w:rsidR="00EC7CC3">
        <w:rPr>
          <w:i/>
        </w:rPr>
        <w:t xml:space="preserve">tertiary </w:t>
      </w:r>
      <w:r w:rsidR="00EC7CC3">
        <w:t xml:space="preserve">and </w:t>
      </w:r>
      <w:r w:rsidR="00EC7CC3">
        <w:rPr>
          <w:i/>
        </w:rPr>
        <w:t>urban</w:t>
      </w:r>
      <w:r w:rsidR="00EC7CC3">
        <w:t>, respectively.</w:t>
      </w:r>
      <w:r w:rsidR="00317DA4">
        <w:rPr>
          <w:i/>
        </w:rPr>
        <w:t xml:space="preserve"> </w:t>
      </w:r>
      <w:r w:rsidR="00317DA4">
        <w:t xml:space="preserve">It was assumed </w:t>
      </w:r>
      <w:r w:rsidR="00EC7CC3">
        <w:t xml:space="preserve">from </w:t>
      </w:r>
      <w:r w:rsidR="00317DA4">
        <w:t>the variable names that the data was collected in the year 2010.</w:t>
      </w:r>
      <w:r w:rsidR="004F7865">
        <w:rPr>
          <w:i/>
        </w:rPr>
        <w:t xml:space="preserve"> </w:t>
      </w:r>
      <w:r w:rsidR="00317DA4">
        <w:t xml:space="preserve">While </w:t>
      </w:r>
      <w:r w:rsidR="00C54701">
        <w:t xml:space="preserve">the </w:t>
      </w:r>
      <w:r w:rsidR="00C54701" w:rsidRPr="00EC7CC3">
        <w:rPr>
          <w:i/>
        </w:rPr>
        <w:t>urban</w:t>
      </w:r>
      <w:r w:rsidR="00C54701">
        <w:t xml:space="preserve"> variable</w:t>
      </w:r>
      <w:r w:rsidR="00317DA4">
        <w:t xml:space="preserve"> was rather self-explanatory, </w:t>
      </w:r>
      <w:r w:rsidR="00C54701">
        <w:t xml:space="preserve">the </w:t>
      </w:r>
      <w:r w:rsidR="00C54701" w:rsidRPr="00EC7CC3">
        <w:rPr>
          <w:i/>
        </w:rPr>
        <w:t>tertiary</w:t>
      </w:r>
      <w:r w:rsidR="00C54701">
        <w:t xml:space="preserve"> </w:t>
      </w:r>
      <w:r w:rsidR="00317DA4">
        <w:t xml:space="preserve">variable </w:t>
      </w:r>
      <w:r w:rsidR="004F7865">
        <w:t xml:space="preserve">contains information about how many people </w:t>
      </w:r>
      <w:r w:rsidR="00217279">
        <w:t>were</w:t>
      </w:r>
      <w:r w:rsidR="004F7865">
        <w:t xml:space="preserve"> enrolled in colleges and universities, regardless of </w:t>
      </w:r>
      <w:r w:rsidR="00C54701">
        <w:t>an institution’s ‘urban’, ‘suburban’, or ‘rural’ designation</w:t>
      </w:r>
      <w:r w:rsidR="004F7865">
        <w:t xml:space="preserve">. IBM SPSS Statistics (SPSS) version 24 analyzed the variables and provided results for the current report. </w:t>
      </w:r>
    </w:p>
    <w:p w:rsidR="008F430E" w:rsidRDefault="008F430E">
      <w:pPr>
        <w:rPr>
          <w:b/>
        </w:rPr>
      </w:pPr>
      <w:r w:rsidRPr="008F430E">
        <w:rPr>
          <w:b/>
        </w:rPr>
        <w:t>Descriptive Statistics</w:t>
      </w:r>
    </w:p>
    <w:p w:rsidR="00221D6A" w:rsidRPr="003B700C" w:rsidRDefault="00217279" w:rsidP="00A9421D">
      <w:pPr>
        <w:spacing w:line="360" w:lineRule="auto"/>
        <w:contextualSpacing/>
      </w:pPr>
      <w:r>
        <w:rPr>
          <w:b/>
        </w:rPr>
        <w:tab/>
      </w:r>
      <w:r w:rsidR="00317DA4">
        <w:t xml:space="preserve">Using SPSS’s ‘Analyze’ function, a series of descriptive statistics was generated </w:t>
      </w:r>
      <w:r w:rsidR="009E1D1A">
        <w:t xml:space="preserve">using the steps </w:t>
      </w:r>
      <w:r w:rsidR="009E1D1A" w:rsidRPr="002A2695">
        <w:rPr>
          <w:sz w:val="20"/>
          <w:szCs w:val="20"/>
        </w:rPr>
        <w:t>Analyze-&gt; Descriptive Statistics -&gt; Frequencies</w:t>
      </w:r>
      <w:r w:rsidR="009E1D1A">
        <w:t xml:space="preserve">, </w:t>
      </w:r>
      <w:r w:rsidR="00317DA4">
        <w:t>which examined the two aforementioned variables independently</w:t>
      </w:r>
      <w:r w:rsidR="009E1D1A">
        <w:t xml:space="preserve">. Figure 1 displays the results, which indicate that </w:t>
      </w:r>
      <w:r w:rsidR="003F5322">
        <w:t>89 entries</w:t>
      </w:r>
      <w:r w:rsidR="009E1D1A">
        <w:t xml:space="preserve"> are missing for</w:t>
      </w:r>
      <w:r w:rsidR="009E1D1A" w:rsidRPr="00EC7CC3">
        <w:rPr>
          <w:i/>
        </w:rPr>
        <w:t xml:space="preserve"> tertiary</w:t>
      </w:r>
      <w:r w:rsidR="009E1D1A">
        <w:t xml:space="preserve"> but only 4</w:t>
      </w:r>
      <w:r w:rsidR="003F5322">
        <w:t xml:space="preserve"> were missing</w:t>
      </w:r>
      <w:r w:rsidR="009E1D1A">
        <w:t xml:space="preserve"> from </w:t>
      </w:r>
      <w:r w:rsidR="003F5322">
        <w:rPr>
          <w:i/>
        </w:rPr>
        <w:t>urban</w:t>
      </w:r>
      <w:r w:rsidR="009E1D1A">
        <w:t xml:space="preserve">. </w:t>
      </w:r>
      <w:r w:rsidR="00221D6A">
        <w:t>By default</w:t>
      </w:r>
      <w:r w:rsidR="006001AC">
        <w:t xml:space="preserve">, SPSS </w:t>
      </w:r>
      <w:r w:rsidR="00040E0D">
        <w:t>excludes system-</w:t>
      </w:r>
      <w:r w:rsidR="006001AC">
        <w:t xml:space="preserve">missing values from analysis; deleting </w:t>
      </w:r>
      <w:r w:rsidR="006001AC">
        <w:lastRenderedPageBreak/>
        <w:t>cases can result in a smaller sample and larger standard error. As the dataset is already small (N= 214),</w:t>
      </w:r>
      <w:r w:rsidR="00221D6A">
        <w:t xml:space="preserve"> removal of the cases could return biased results</w:t>
      </w:r>
      <w:r w:rsidR="006001AC">
        <w:t xml:space="preserve">. </w:t>
      </w:r>
      <w:r w:rsidR="002B0E17">
        <w:t xml:space="preserve">However, without metadata available on the dataset, imputation could be unwarranted or even detrimental to the analysis. With such a large amount of data missing from </w:t>
      </w:r>
      <w:r w:rsidR="002B0E17">
        <w:rPr>
          <w:i/>
        </w:rPr>
        <w:t>tertiary</w:t>
      </w:r>
      <w:r w:rsidR="003B700C">
        <w:rPr>
          <w:i/>
        </w:rPr>
        <w:t xml:space="preserve"> </w:t>
      </w:r>
      <w:r w:rsidR="003B700C">
        <w:t>(42%), the imputation may render the results confirmative when they should not be, unless the data is considered Missing Completely at Random (MCAR) (Jakobsen, Gluud, Wetterslev, &amp; Winkel,  2017).</w:t>
      </w:r>
    </w:p>
    <w:p w:rsidR="009E1D1A" w:rsidRPr="003F54EB" w:rsidRDefault="00221D6A" w:rsidP="00A9421D">
      <w:pPr>
        <w:spacing w:line="360" w:lineRule="auto"/>
        <w:ind w:firstLine="720"/>
        <w:contextualSpacing/>
      </w:pPr>
      <w:r>
        <w:t>The</w:t>
      </w:r>
      <w:r w:rsidR="006812FF">
        <w:t xml:space="preserve"> variables of interest were checked using Little’s MCAR</w:t>
      </w:r>
      <w:r w:rsidR="003F54EB">
        <w:t xml:space="preserve"> </w:t>
      </w:r>
      <w:r w:rsidR="006812FF">
        <w:t>Test</w:t>
      </w:r>
      <w:r>
        <w:t xml:space="preserve"> (Figure 2). Significance was reported at 0.648, indicating that the missing values </w:t>
      </w:r>
      <w:r w:rsidR="003F54EB">
        <w:t>may be</w:t>
      </w:r>
      <w:r>
        <w:t xml:space="preserve"> MCAR</w:t>
      </w:r>
      <w:r w:rsidR="003F54EB">
        <w:t xml:space="preserve">. If data are MCAR, either multiple imputation or ignorance of missing values are valid approaches (Jakobsen et al., 2017). As the current report focused on establishing a basic relationship between the two variables </w:t>
      </w:r>
      <w:r w:rsidR="003F54EB">
        <w:rPr>
          <w:i/>
        </w:rPr>
        <w:t xml:space="preserve">tertiary </w:t>
      </w:r>
      <w:r w:rsidR="003F54EB">
        <w:t xml:space="preserve">and </w:t>
      </w:r>
      <w:r w:rsidR="003F54EB">
        <w:rPr>
          <w:i/>
        </w:rPr>
        <w:t>urban</w:t>
      </w:r>
      <w:r w:rsidR="003F54EB">
        <w:t>, multiple imputation was not performed.</w:t>
      </w:r>
    </w:p>
    <w:p w:rsidR="006438E9" w:rsidRDefault="006438E9" w:rsidP="00221D6A">
      <w:pPr>
        <w:jc w:val="center"/>
      </w:pPr>
    </w:p>
    <w:p w:rsidR="009E1D1A" w:rsidRDefault="00A70BB8" w:rsidP="006438E9">
      <w:r>
        <w:rPr>
          <w:noProof/>
        </w:rPr>
        <w:t xml:space="preserve">   </w:t>
      </w:r>
      <w:r w:rsidR="009E1D1A">
        <w:rPr>
          <w:noProof/>
        </w:rPr>
        <w:drawing>
          <wp:inline distT="0" distB="0" distL="0" distR="0" wp14:anchorId="44F6C660">
            <wp:extent cx="275082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0820" cy="3657600"/>
                    </a:xfrm>
                    <a:prstGeom prst="rect">
                      <a:avLst/>
                    </a:prstGeom>
                    <a:noFill/>
                  </pic:spPr>
                </pic:pic>
              </a:graphicData>
            </a:graphic>
          </wp:inline>
        </w:drawing>
      </w:r>
      <w:r w:rsidR="00CD4C95">
        <w:t xml:space="preserve">            </w:t>
      </w:r>
      <w:r w:rsidR="006438E9" w:rsidRPr="00221D6A">
        <w:drawing>
          <wp:inline distT="0" distB="0" distL="0" distR="0" wp14:anchorId="26F43177" wp14:editId="011A61D9">
            <wp:extent cx="2126164" cy="2149026"/>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6164" cy="2149026"/>
                    </a:xfrm>
                    <a:prstGeom prst="rect">
                      <a:avLst/>
                    </a:prstGeom>
                  </pic:spPr>
                </pic:pic>
              </a:graphicData>
            </a:graphic>
          </wp:inline>
        </w:drawing>
      </w:r>
    </w:p>
    <w:p w:rsidR="006438E9" w:rsidRPr="00B15BCC" w:rsidRDefault="00221D6A" w:rsidP="006438E9">
      <w:r w:rsidRPr="00B15BCC">
        <w:rPr>
          <w:b/>
        </w:rPr>
        <w:t>Figure 1:</w:t>
      </w:r>
      <w:r w:rsidR="00B15BCC">
        <w:rPr>
          <w:b/>
        </w:rPr>
        <w:t xml:space="preserve"> </w:t>
      </w:r>
      <w:r w:rsidR="00BB2CD4" w:rsidRPr="00BB2CD4">
        <w:t xml:space="preserve">Descriptive Statistics for the variables </w:t>
      </w:r>
      <w:r w:rsidR="006438E9">
        <w:t xml:space="preserve">     </w:t>
      </w:r>
      <w:r w:rsidR="00CD4C95">
        <w:t xml:space="preserve">             </w:t>
      </w:r>
      <w:r w:rsidR="006438E9" w:rsidRPr="00B15BCC">
        <w:rPr>
          <w:b/>
        </w:rPr>
        <w:t>Figure 2:</w:t>
      </w:r>
      <w:r w:rsidR="006438E9">
        <w:t xml:space="preserve"> </w:t>
      </w:r>
      <w:r w:rsidR="006438E9" w:rsidRPr="00B15BCC">
        <w:t xml:space="preserve"> </w:t>
      </w:r>
      <w:r w:rsidR="006438E9">
        <w:t>Little’s MCAR test result</w:t>
      </w:r>
      <w:r w:rsidR="006438E9">
        <w:t xml:space="preserve">s                   </w:t>
      </w:r>
      <w:r w:rsidR="006438E9">
        <w:rPr>
          <w:i/>
        </w:rPr>
        <w:t xml:space="preserve">@2010.1115 </w:t>
      </w:r>
      <w:r w:rsidR="006438E9" w:rsidRPr="00BB2CD4">
        <w:rPr>
          <w:i/>
        </w:rPr>
        <w:t>(tertiary)</w:t>
      </w:r>
      <w:r w:rsidR="006438E9" w:rsidRPr="00BB2CD4">
        <w:t xml:space="preserve"> and</w:t>
      </w:r>
      <w:r w:rsidR="006438E9" w:rsidRPr="00BB2CD4">
        <w:rPr>
          <w:i/>
        </w:rPr>
        <w:t xml:space="preserve"> </w:t>
      </w:r>
      <w:r w:rsidR="006438E9">
        <w:rPr>
          <w:i/>
        </w:rPr>
        <w:t>@</w:t>
      </w:r>
      <w:r w:rsidR="006438E9" w:rsidRPr="00BB2CD4">
        <w:rPr>
          <w:i/>
        </w:rPr>
        <w:t>2010.1</w:t>
      </w:r>
      <w:r w:rsidR="006438E9">
        <w:rPr>
          <w:i/>
        </w:rPr>
        <w:t>26</w:t>
      </w:r>
      <w:r w:rsidR="006438E9" w:rsidRPr="00BB2CD4">
        <w:rPr>
          <w:i/>
        </w:rPr>
        <w:t>5 (urban)</w:t>
      </w:r>
    </w:p>
    <w:p w:rsidR="006438E9" w:rsidRDefault="006438E9" w:rsidP="00A9421D">
      <w:pPr>
        <w:spacing w:line="360" w:lineRule="auto"/>
        <w:contextualSpacing/>
        <w:rPr>
          <w:i/>
        </w:rPr>
      </w:pPr>
    </w:p>
    <w:p w:rsidR="0038450B" w:rsidRDefault="003B700C" w:rsidP="00F31473">
      <w:pPr>
        <w:spacing w:line="360" w:lineRule="auto"/>
        <w:ind w:firstLine="720"/>
        <w:contextualSpacing/>
      </w:pPr>
      <w:r>
        <w:t xml:space="preserve">Referring back to Figure 1, one notices that the average percentage of persons enrolled in a tertiary institution (26.4%) is less than half the average urban population percentage (54.4%), which </w:t>
      </w:r>
      <w:r w:rsidR="00700602">
        <w:t xml:space="preserve">is </w:t>
      </w:r>
      <w:r w:rsidR="00700602">
        <w:lastRenderedPageBreak/>
        <w:t>reasonable</w:t>
      </w:r>
      <w:r>
        <w:t xml:space="preserve"> since not everyone who lives in the city will be </w:t>
      </w:r>
      <w:r w:rsidR="003F54EB">
        <w:t xml:space="preserve">enrolled in a </w:t>
      </w:r>
      <w:r w:rsidR="00700602">
        <w:t>tertiary institution</w:t>
      </w:r>
      <w:r w:rsidR="00040E0D">
        <w:t xml:space="preserve">. </w:t>
      </w:r>
      <w:r w:rsidR="00016BBF">
        <w:t xml:space="preserve">The median values for </w:t>
      </w:r>
      <w:r w:rsidR="00016BBF">
        <w:rPr>
          <w:i/>
        </w:rPr>
        <w:t xml:space="preserve">tertiary </w:t>
      </w:r>
      <w:r w:rsidR="00016BBF">
        <w:t xml:space="preserve">and </w:t>
      </w:r>
      <w:r w:rsidR="00016BBF">
        <w:rPr>
          <w:i/>
        </w:rPr>
        <w:t xml:space="preserve">urban </w:t>
      </w:r>
      <w:r w:rsidR="00016BBF">
        <w:t>were 22.08% and 53.4</w:t>
      </w:r>
      <w:r w:rsidR="00D5233D">
        <w:t>3</w:t>
      </w:r>
      <w:r w:rsidR="00016BBF">
        <w:t xml:space="preserve">%, respectively. For the former, the median is somewhat smaller than the mean, with the reported mode even smaller (though, the variable is multi-modal.) </w:t>
      </w:r>
      <w:r w:rsidR="00870790">
        <w:t xml:space="preserve">The standard deviations of both variables are between 20 and 25 percentage points, indicating that the data points for both are spread over a large value range.  </w:t>
      </w:r>
      <w:r w:rsidR="00016BBF">
        <w:t xml:space="preserve">Skewness values indicate that </w:t>
      </w:r>
      <w:r w:rsidR="00016BBF">
        <w:rPr>
          <w:i/>
        </w:rPr>
        <w:t>tertiary</w:t>
      </w:r>
      <w:r w:rsidR="00016BBF">
        <w:t xml:space="preserve"> </w:t>
      </w:r>
      <w:r w:rsidR="008B466B">
        <w:t xml:space="preserve">(.545) </w:t>
      </w:r>
      <w:r w:rsidR="00016BBF">
        <w:t xml:space="preserve">is slightly more skewed than </w:t>
      </w:r>
      <w:r w:rsidR="00016BBF">
        <w:rPr>
          <w:i/>
        </w:rPr>
        <w:t>urban</w:t>
      </w:r>
      <w:r w:rsidR="008B466B">
        <w:rPr>
          <w:i/>
        </w:rPr>
        <w:t xml:space="preserve"> </w:t>
      </w:r>
      <w:r w:rsidR="008B466B">
        <w:t>(.063)</w:t>
      </w:r>
      <w:r w:rsidR="00016BBF">
        <w:t xml:space="preserve">. For the latter, the median being so close to the mean indicates a more “normal” distribution, with smaller skewness and kurtosis values </w:t>
      </w:r>
      <w:r w:rsidR="008B466B">
        <w:t>in concurrence</w:t>
      </w:r>
      <w:r w:rsidR="00016BBF">
        <w:t>).</w:t>
      </w:r>
      <w:r w:rsidR="008B466B">
        <w:t xml:space="preserve"> </w:t>
      </w:r>
      <w:r w:rsidR="00870790">
        <w:t>Figures 3 and 4 demonstrate the initial distribution of the two variables against a normal curve.</w:t>
      </w:r>
    </w:p>
    <w:p w:rsidR="00870790" w:rsidRDefault="00870790" w:rsidP="0038450B">
      <w:pPr>
        <w:spacing w:line="360" w:lineRule="auto"/>
        <w:contextualSpacing/>
        <w:jc w:val="center"/>
      </w:pPr>
      <w:r>
        <w:rPr>
          <w:noProof/>
        </w:rPr>
        <w:drawing>
          <wp:inline distT="0" distB="0" distL="0" distR="0" wp14:anchorId="541EBB32">
            <wp:extent cx="3063708" cy="25222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0918" cy="2602249"/>
                    </a:xfrm>
                    <a:prstGeom prst="rect">
                      <a:avLst/>
                    </a:prstGeom>
                    <a:noFill/>
                  </pic:spPr>
                </pic:pic>
              </a:graphicData>
            </a:graphic>
          </wp:inline>
        </w:drawing>
      </w:r>
    </w:p>
    <w:p w:rsidR="0038450B" w:rsidRDefault="00870790" w:rsidP="0038450B">
      <w:pPr>
        <w:rPr>
          <w:noProof/>
        </w:rPr>
      </w:pPr>
      <w:r w:rsidRPr="00870790">
        <w:rPr>
          <w:b/>
        </w:rPr>
        <w:t>Figure 3:</w:t>
      </w:r>
      <w:r>
        <w:t xml:space="preserve"> Initial histogram of </w:t>
      </w:r>
      <w:r>
        <w:rPr>
          <w:i/>
        </w:rPr>
        <w:t>te</w:t>
      </w:r>
      <w:r w:rsidR="0038450B">
        <w:rPr>
          <w:i/>
        </w:rPr>
        <w:t>r</w:t>
      </w:r>
      <w:r>
        <w:rPr>
          <w:i/>
        </w:rPr>
        <w:t>tiary</w:t>
      </w:r>
    </w:p>
    <w:p w:rsidR="00870790" w:rsidRPr="0038450B" w:rsidRDefault="00870790" w:rsidP="0038450B">
      <w:pPr>
        <w:jc w:val="center"/>
        <w:rPr>
          <w:i/>
        </w:rPr>
      </w:pPr>
      <w:r>
        <w:rPr>
          <w:noProof/>
        </w:rPr>
        <w:drawing>
          <wp:inline distT="0" distB="0" distL="0" distR="0" wp14:anchorId="5E8E3D06">
            <wp:extent cx="3134445" cy="24765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7137" cy="2549735"/>
                    </a:xfrm>
                    <a:prstGeom prst="rect">
                      <a:avLst/>
                    </a:prstGeom>
                    <a:noFill/>
                  </pic:spPr>
                </pic:pic>
              </a:graphicData>
            </a:graphic>
          </wp:inline>
        </w:drawing>
      </w:r>
    </w:p>
    <w:p w:rsidR="00870790" w:rsidRDefault="00870790">
      <w:pPr>
        <w:rPr>
          <w:i/>
        </w:rPr>
      </w:pPr>
      <w:r w:rsidRPr="00870790">
        <w:rPr>
          <w:b/>
        </w:rPr>
        <w:t>Figure 4:</w:t>
      </w:r>
      <w:r>
        <w:t xml:space="preserve"> Histogram of </w:t>
      </w:r>
      <w:r>
        <w:rPr>
          <w:i/>
        </w:rPr>
        <w:t>urban</w:t>
      </w:r>
    </w:p>
    <w:p w:rsidR="003F54EB" w:rsidRDefault="008B466B" w:rsidP="00A9421D">
      <w:pPr>
        <w:spacing w:line="360" w:lineRule="auto"/>
        <w:ind w:firstLine="720"/>
        <w:contextualSpacing/>
      </w:pPr>
      <w:r>
        <w:lastRenderedPageBreak/>
        <w:t>Skewness between 0.5 and 1 may be considered moderately skewed (Normality, n.d.).; moderate positive skewness may benefit from a square-root transformation (Tabachnick &amp; Fidell, 2007).</w:t>
      </w:r>
      <w:r w:rsidR="00422352">
        <w:t xml:space="preserve"> The transformed </w:t>
      </w:r>
      <w:r w:rsidR="00422352">
        <w:rPr>
          <w:i/>
        </w:rPr>
        <w:t xml:space="preserve">tertiary </w:t>
      </w:r>
      <w:r w:rsidR="00422352">
        <w:t>variable</w:t>
      </w:r>
      <w:r w:rsidR="005E2985">
        <w:t xml:space="preserve"> (</w:t>
      </w:r>
      <w:r w:rsidR="005E2985" w:rsidRPr="005E2985">
        <w:rPr>
          <w:i/>
        </w:rPr>
        <w:t>sqrt@2010.1115</w:t>
      </w:r>
      <w:r w:rsidR="005E2985">
        <w:t>)</w:t>
      </w:r>
      <w:r w:rsidR="00422352">
        <w:t xml:space="preserve"> distribution may be viewed in Figure </w:t>
      </w:r>
      <w:r w:rsidR="00870790">
        <w:t>5</w:t>
      </w:r>
      <w:r w:rsidR="00422352">
        <w:t>.</w:t>
      </w:r>
      <w:r w:rsidR="005E2985">
        <w:t xml:space="preserve"> The result is somewhat more normalized, at least visually. The reported skewness post-transformation was somewhat improved at -.337 (Figure 6). </w:t>
      </w:r>
    </w:p>
    <w:p w:rsidR="005E2985" w:rsidRDefault="005E2985" w:rsidP="00700602">
      <w:pPr>
        <w:jc w:val="center"/>
      </w:pPr>
      <w:r>
        <w:rPr>
          <w:noProof/>
        </w:rPr>
        <w:drawing>
          <wp:inline distT="0" distB="0" distL="0" distR="0" wp14:anchorId="32F67093">
            <wp:extent cx="2907703" cy="2506345"/>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8234" cy="2524042"/>
                    </a:xfrm>
                    <a:prstGeom prst="rect">
                      <a:avLst/>
                    </a:prstGeom>
                    <a:noFill/>
                  </pic:spPr>
                </pic:pic>
              </a:graphicData>
            </a:graphic>
          </wp:inline>
        </w:drawing>
      </w:r>
    </w:p>
    <w:p w:rsidR="005E2985" w:rsidRPr="005E2985" w:rsidRDefault="005E2985" w:rsidP="005E2985">
      <w:r w:rsidRPr="005E2985">
        <w:rPr>
          <w:b/>
        </w:rPr>
        <w:t xml:space="preserve">Figure 5: </w:t>
      </w:r>
      <w:r>
        <w:t xml:space="preserve">Histogram of the square-root transformed variable </w:t>
      </w:r>
      <w:r>
        <w:rPr>
          <w:i/>
        </w:rPr>
        <w:t xml:space="preserve">tertiary </w:t>
      </w:r>
      <w:r>
        <w:t>(sqrt@2010.1115)</w:t>
      </w:r>
    </w:p>
    <w:p w:rsidR="005E2985" w:rsidRDefault="005E2985" w:rsidP="00700602">
      <w:pPr>
        <w:jc w:val="center"/>
        <w:rPr>
          <w:b/>
        </w:rPr>
      </w:pPr>
      <w:r>
        <w:rPr>
          <w:b/>
          <w:noProof/>
        </w:rPr>
        <w:drawing>
          <wp:inline distT="0" distB="0" distL="0" distR="0" wp14:anchorId="6F882F4E">
            <wp:extent cx="2750820" cy="3329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0820" cy="3329940"/>
                    </a:xfrm>
                    <a:prstGeom prst="rect">
                      <a:avLst/>
                    </a:prstGeom>
                    <a:noFill/>
                  </pic:spPr>
                </pic:pic>
              </a:graphicData>
            </a:graphic>
          </wp:inline>
        </w:drawing>
      </w:r>
    </w:p>
    <w:p w:rsidR="00040E0D" w:rsidRPr="002A2695" w:rsidRDefault="005E2985" w:rsidP="00BB34C5">
      <w:pPr>
        <w:rPr>
          <w:i/>
          <w:szCs w:val="20"/>
        </w:rPr>
      </w:pPr>
      <w:r w:rsidRPr="002A2695">
        <w:rPr>
          <w:b/>
          <w:szCs w:val="20"/>
        </w:rPr>
        <w:t xml:space="preserve">Figure 6: </w:t>
      </w:r>
      <w:r w:rsidRPr="002A2695">
        <w:rPr>
          <w:szCs w:val="20"/>
        </w:rPr>
        <w:t xml:space="preserve">Descriptive statistics of the sqrt@2010.1115 variable. Due to only mild improvement in normalization using transformation, future analyses with the </w:t>
      </w:r>
      <w:r w:rsidR="00040E0D" w:rsidRPr="002A2695">
        <w:rPr>
          <w:i/>
          <w:szCs w:val="20"/>
        </w:rPr>
        <w:t xml:space="preserve">tertiary </w:t>
      </w:r>
      <w:r w:rsidRPr="002A2695">
        <w:rPr>
          <w:szCs w:val="20"/>
        </w:rPr>
        <w:t>variable may or may not require transformation.</w:t>
      </w:r>
    </w:p>
    <w:p w:rsidR="008F430E" w:rsidRDefault="008F430E">
      <w:pPr>
        <w:rPr>
          <w:b/>
        </w:rPr>
      </w:pPr>
      <w:r w:rsidRPr="008F430E">
        <w:rPr>
          <w:b/>
        </w:rPr>
        <w:lastRenderedPageBreak/>
        <w:t>Correlation</w:t>
      </w:r>
    </w:p>
    <w:p w:rsidR="00BB34C5" w:rsidRPr="00A737E4" w:rsidRDefault="00BB34C5" w:rsidP="00A9421D">
      <w:pPr>
        <w:spacing w:line="360" w:lineRule="auto"/>
        <w:contextualSpacing/>
      </w:pPr>
      <w:r>
        <w:rPr>
          <w:b/>
        </w:rPr>
        <w:tab/>
      </w:r>
      <w:r>
        <w:t xml:space="preserve">A bivariate correlation with both the untransformed (Figure 7) and transformed (Figure 8) variable </w:t>
      </w:r>
      <w:r>
        <w:rPr>
          <w:i/>
        </w:rPr>
        <w:t>tertiary</w:t>
      </w:r>
      <w:r w:rsidR="009B4CCC">
        <w:rPr>
          <w:i/>
        </w:rPr>
        <w:t xml:space="preserve"> </w:t>
      </w:r>
      <w:r>
        <w:t>examine</w:t>
      </w:r>
      <w:r w:rsidR="009B4CCC">
        <w:t>d</w:t>
      </w:r>
      <w:r>
        <w:t xml:space="preserve"> the effect of the transformation on the correlation. In either case, results of the Pearson correlation indicated that there was a significant positive association between tertiary enrollment and </w:t>
      </w:r>
      <w:r w:rsidR="006305B9">
        <w:t>urban residence</w:t>
      </w:r>
      <w:r w:rsidR="00A737E4">
        <w:t xml:space="preserve">, with the untransformed variables (r=.669, p &lt;.001) reporting </w:t>
      </w:r>
      <w:r w:rsidR="00A737E4" w:rsidRPr="00D5233D">
        <w:t xml:space="preserve">only a slightly weaker correlation than the one with the transformed </w:t>
      </w:r>
      <w:r w:rsidR="00A737E4" w:rsidRPr="00D5233D">
        <w:rPr>
          <w:i/>
        </w:rPr>
        <w:t xml:space="preserve">tertiary </w:t>
      </w:r>
      <w:r w:rsidR="00A737E4" w:rsidRPr="00D5233D">
        <w:t xml:space="preserve">variable (r = .688, p &lt; .001). Based on the results, tertiary school enrollment and </w:t>
      </w:r>
      <w:r w:rsidR="00040E0D">
        <w:t>urban living</w:t>
      </w:r>
      <w:r w:rsidR="00A737E4" w:rsidRPr="00D5233D">
        <w:t xml:space="preserve"> </w:t>
      </w:r>
      <w:r w:rsidR="006305B9">
        <w:t>exhibit</w:t>
      </w:r>
      <w:r w:rsidR="00A737E4" w:rsidRPr="00D5233D">
        <w:t xml:space="preserve"> a statistically significant linear </w:t>
      </w:r>
      <w:r w:rsidR="006305B9">
        <w:t>relationship; t</w:t>
      </w:r>
      <w:r w:rsidR="00A737E4" w:rsidRPr="00D5233D">
        <w:t xml:space="preserve">he variables are positively correlated, indicating that </w:t>
      </w:r>
      <w:r w:rsidR="006305B9">
        <w:t>both</w:t>
      </w:r>
      <w:r w:rsidR="00A737E4" w:rsidRPr="00D5233D">
        <w:t xml:space="preserve"> tend to increase together</w:t>
      </w:r>
      <w:r w:rsidR="006305B9">
        <w:t>, and t</w:t>
      </w:r>
      <w:r w:rsidR="00A737E4" w:rsidRPr="00D5233D">
        <w:t>he magnitude of the association is</w:t>
      </w:r>
      <w:r w:rsidR="00A737E4">
        <w:t xml:space="preserve"> moderate approaching strong. </w:t>
      </w:r>
    </w:p>
    <w:p w:rsidR="00A737E4" w:rsidRDefault="00A737E4" w:rsidP="00700602">
      <w:pPr>
        <w:jc w:val="center"/>
      </w:pPr>
      <w:r>
        <w:rPr>
          <w:noProof/>
        </w:rPr>
        <w:drawing>
          <wp:inline distT="0" distB="0" distL="0" distR="0" wp14:anchorId="5511393F">
            <wp:extent cx="3681095" cy="1920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1095" cy="1920240"/>
                    </a:xfrm>
                    <a:prstGeom prst="rect">
                      <a:avLst/>
                    </a:prstGeom>
                    <a:noFill/>
                  </pic:spPr>
                </pic:pic>
              </a:graphicData>
            </a:graphic>
          </wp:inline>
        </w:drawing>
      </w:r>
    </w:p>
    <w:p w:rsidR="00A737E4" w:rsidRDefault="00A737E4">
      <w:pPr>
        <w:rPr>
          <w:i/>
        </w:rPr>
      </w:pPr>
      <w:r w:rsidRPr="00A737E4">
        <w:rPr>
          <w:b/>
        </w:rPr>
        <w:t>Figure 7:</w:t>
      </w:r>
      <w:r>
        <w:t xml:space="preserve"> Pearson correlation for untransformed </w:t>
      </w:r>
      <w:r>
        <w:rPr>
          <w:i/>
        </w:rPr>
        <w:t>tertiary</w:t>
      </w:r>
      <w:r>
        <w:t xml:space="preserve"> and </w:t>
      </w:r>
      <w:r w:rsidRPr="00A737E4">
        <w:rPr>
          <w:i/>
        </w:rPr>
        <w:t>urban</w:t>
      </w:r>
    </w:p>
    <w:p w:rsidR="00A737E4" w:rsidRPr="00A737E4" w:rsidRDefault="00A737E4" w:rsidP="00700602">
      <w:pPr>
        <w:jc w:val="center"/>
      </w:pPr>
      <w:r>
        <w:rPr>
          <w:noProof/>
        </w:rPr>
        <w:drawing>
          <wp:inline distT="0" distB="0" distL="0" distR="0" wp14:anchorId="7D783AA4">
            <wp:extent cx="3780155" cy="1805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0155" cy="1805940"/>
                    </a:xfrm>
                    <a:prstGeom prst="rect">
                      <a:avLst/>
                    </a:prstGeom>
                    <a:noFill/>
                  </pic:spPr>
                </pic:pic>
              </a:graphicData>
            </a:graphic>
          </wp:inline>
        </w:drawing>
      </w:r>
    </w:p>
    <w:p w:rsidR="00A737E4" w:rsidRPr="00A737E4" w:rsidRDefault="00A737E4">
      <w:r w:rsidRPr="00A737E4">
        <w:rPr>
          <w:b/>
        </w:rPr>
        <w:t>Figure 8:</w:t>
      </w:r>
      <w:r>
        <w:t xml:space="preserve"> Pearson correlation for transformed </w:t>
      </w:r>
      <w:r>
        <w:rPr>
          <w:i/>
        </w:rPr>
        <w:t xml:space="preserve">tertiary </w:t>
      </w:r>
      <w:r>
        <w:t xml:space="preserve">and </w:t>
      </w:r>
      <w:r>
        <w:rPr>
          <w:i/>
        </w:rPr>
        <w:t>urban</w:t>
      </w:r>
      <w:r>
        <w:t xml:space="preserve"> </w:t>
      </w:r>
    </w:p>
    <w:p w:rsidR="008F430E" w:rsidRDefault="008F430E">
      <w:pPr>
        <w:rPr>
          <w:b/>
        </w:rPr>
      </w:pPr>
      <w:r w:rsidRPr="008F430E">
        <w:rPr>
          <w:b/>
        </w:rPr>
        <w:t>Discussion</w:t>
      </w:r>
    </w:p>
    <w:p w:rsidR="00145B91" w:rsidRDefault="00040E0D" w:rsidP="00A9421D">
      <w:pPr>
        <w:spacing w:line="360" w:lineRule="auto"/>
        <w:contextualSpacing/>
      </w:pPr>
      <w:r>
        <w:rPr>
          <w:b/>
        </w:rPr>
        <w:tab/>
      </w:r>
      <w:r>
        <w:t xml:space="preserve">The particular variables analyzed in the current report are interesting because it is difficult to determine which </w:t>
      </w:r>
      <w:r w:rsidR="006C03D9">
        <w:t>one is the dependent variable</w:t>
      </w:r>
      <w:r>
        <w:t xml:space="preserve">. Similar to the case of the chicken and the egg, one may question which </w:t>
      </w:r>
      <w:r w:rsidR="0061312B">
        <w:t>occur</w:t>
      </w:r>
      <w:r w:rsidR="00145B91">
        <w:t xml:space="preserve">s </w:t>
      </w:r>
      <w:r>
        <w:t xml:space="preserve">first: </w:t>
      </w:r>
      <w:r w:rsidR="0061312B">
        <w:t xml:space="preserve">do rural-dwelling </w:t>
      </w:r>
      <w:r>
        <w:t xml:space="preserve">people enroll in post-secondary education and </w:t>
      </w:r>
      <w:r w:rsidR="0061312B">
        <w:t>subsequently relocate</w:t>
      </w:r>
      <w:r>
        <w:t xml:space="preserve"> to urban areas, or are </w:t>
      </w:r>
      <w:r w:rsidR="0061312B">
        <w:t>urban-dwelling people</w:t>
      </w:r>
      <w:r>
        <w:t xml:space="preserve"> more likely to enroll in college </w:t>
      </w:r>
      <w:r>
        <w:lastRenderedPageBreak/>
        <w:t>because they are already located in an urban area? In this case, it is likely both</w:t>
      </w:r>
      <w:r w:rsidR="006C03D9">
        <w:t>, with a little more of the latter occurring due to proximity and expectations</w:t>
      </w:r>
      <w:r>
        <w:t xml:space="preserve">. </w:t>
      </w:r>
    </w:p>
    <w:p w:rsidR="00040E0D" w:rsidRDefault="00040E0D" w:rsidP="00145B91">
      <w:pPr>
        <w:spacing w:line="360" w:lineRule="auto"/>
        <w:ind w:firstLine="720"/>
        <w:contextualSpacing/>
      </w:pPr>
      <w:r>
        <w:t xml:space="preserve">In fact, there have been several studies that suggest rural students are at a disadvantage; students in rural counties are only 85% percent as likely as their urban peers to enroll in higher education (Koricich, </w:t>
      </w:r>
      <w:r w:rsidR="00AC452C">
        <w:t>2014). Rural students may not have the same knowledge about their college enrollment and financial options as urban peers, lack familial support or understanding, may be lower-income and less likely to attend for monetary reasons, and may have a lack of transportation or access to their preferred school</w:t>
      </w:r>
      <w:r w:rsidR="002A2695">
        <w:t>s</w:t>
      </w:r>
      <w:r w:rsidR="00AC452C">
        <w:t xml:space="preserve">. Those that do enroll from rural areas </w:t>
      </w:r>
      <w:r w:rsidR="002A2695">
        <w:t xml:space="preserve">may </w:t>
      </w:r>
      <w:r w:rsidR="00AC452C">
        <w:t xml:space="preserve">migrate to the city and </w:t>
      </w:r>
      <w:r w:rsidR="002A2695">
        <w:t>remain there</w:t>
      </w:r>
      <w:r w:rsidR="00AC452C">
        <w:t xml:space="preserve"> because that is where the jobs tend to be. On the other hand, students in urban or suburban areas are often visited by nearby colleges and universities, who tend to recruit them more than rural students (Gomes, Grotteria, &amp; Wachter, 2018</w:t>
      </w:r>
      <w:r w:rsidR="00650B8E">
        <w:t>; Gettinger, 2019</w:t>
      </w:r>
      <w:r w:rsidR="00AC452C">
        <w:t>). They also are already familiar with city life and culture and may acclimate to the college environment better, grow up with the expectation of attending colleges or universities, and have increased access and opportunities due to their proximity as well as their socioeconomic status</w:t>
      </w:r>
      <w:r w:rsidR="00650B8E">
        <w:t>.</w:t>
      </w:r>
      <w:r w:rsidR="001F0774">
        <w:t xml:space="preserve"> </w:t>
      </w:r>
    </w:p>
    <w:p w:rsidR="00657E8B" w:rsidRDefault="002F00D6" w:rsidP="00A9421D">
      <w:pPr>
        <w:spacing w:line="360" w:lineRule="auto"/>
        <w:contextualSpacing/>
      </w:pPr>
      <w:r>
        <w:tab/>
        <w:t>As rural America loses youth, rural areas become more economically depressed</w:t>
      </w:r>
      <w:r w:rsidR="005E3408">
        <w:t>, become increasingly old, and experience ‘brain drain’</w:t>
      </w:r>
      <w:r>
        <w:t xml:space="preserve">. </w:t>
      </w:r>
      <w:r w:rsidR="008C2ACE">
        <w:t>It is not that rural areas are undesirable; approximately</w:t>
      </w:r>
      <w:r w:rsidR="00657E8B">
        <w:t xml:space="preserve"> one out of four urban residents would like to relocate, with a third of those stating they would like to move to a rural community (Picchi, 2019). </w:t>
      </w:r>
      <w:r w:rsidR="008C2ACE">
        <w:t>The</w:t>
      </w:r>
      <w:r w:rsidR="00657E8B">
        <w:t xml:space="preserve"> jobs and the opportunities are</w:t>
      </w:r>
      <w:r w:rsidR="008C2ACE">
        <w:t xml:space="preserve"> simply</w:t>
      </w:r>
      <w:r w:rsidR="00657E8B">
        <w:t xml:space="preserve"> not there. </w:t>
      </w:r>
      <w:r w:rsidR="008C2ACE">
        <w:t>The younger, working-age population</w:t>
      </w:r>
      <w:r w:rsidR="00657E8B">
        <w:t xml:space="preserve"> </w:t>
      </w:r>
      <w:r w:rsidR="008C2ACE">
        <w:t xml:space="preserve">remain in the cities, where higher paying jobs allow them to pay back their student loan debts and afford greater luxuries </w:t>
      </w:r>
      <w:r w:rsidR="00657E8B">
        <w:t>(Picchi, 2019). The youth left behind in rural areas are essentially ignored</w:t>
      </w:r>
      <w:r w:rsidR="008C2ACE">
        <w:t xml:space="preserve"> by tertiary institutions</w:t>
      </w:r>
      <w:r w:rsidR="00657E8B">
        <w:t xml:space="preserve">; rural schools do not receive the same recruiting efforts or have the same dual-enrollment programs that many city schools offer. This is detrimental to those youth who would like to better their lives by furthering their education, but do not have access to the information that they need to do so. Society suffers, then, from the loss of potential talent that could contribute to our overall economy and well-being. </w:t>
      </w:r>
    </w:p>
    <w:p w:rsidR="00A9421D" w:rsidRDefault="00A9421D" w:rsidP="00A9421D">
      <w:pPr>
        <w:spacing w:line="360" w:lineRule="auto"/>
        <w:contextualSpacing/>
      </w:pPr>
    </w:p>
    <w:p w:rsidR="00A9421D" w:rsidRDefault="00A9421D" w:rsidP="00A9421D">
      <w:pPr>
        <w:spacing w:line="360" w:lineRule="auto"/>
        <w:contextualSpacing/>
      </w:pPr>
    </w:p>
    <w:p w:rsidR="00A9421D" w:rsidRDefault="00A9421D" w:rsidP="00A9421D">
      <w:pPr>
        <w:spacing w:line="360" w:lineRule="auto"/>
        <w:contextualSpacing/>
      </w:pPr>
    </w:p>
    <w:p w:rsidR="00A9421D" w:rsidRDefault="00A9421D" w:rsidP="00A9421D">
      <w:pPr>
        <w:spacing w:line="360" w:lineRule="auto"/>
        <w:contextualSpacing/>
      </w:pPr>
    </w:p>
    <w:p w:rsidR="00A9421D" w:rsidRDefault="00A9421D" w:rsidP="00A9421D">
      <w:pPr>
        <w:spacing w:line="360" w:lineRule="auto"/>
        <w:contextualSpacing/>
      </w:pPr>
    </w:p>
    <w:p w:rsidR="002A2695" w:rsidRPr="00040E0D" w:rsidRDefault="002A2695" w:rsidP="00A9421D">
      <w:pPr>
        <w:spacing w:line="360" w:lineRule="auto"/>
        <w:contextualSpacing/>
      </w:pPr>
    </w:p>
    <w:p w:rsidR="008C2ACE" w:rsidRDefault="008C2ACE">
      <w:pPr>
        <w:rPr>
          <w:b/>
        </w:rPr>
      </w:pPr>
    </w:p>
    <w:p w:rsidR="008F430E" w:rsidRDefault="008F430E">
      <w:pPr>
        <w:rPr>
          <w:b/>
        </w:rPr>
      </w:pPr>
      <w:r>
        <w:rPr>
          <w:b/>
        </w:rPr>
        <w:lastRenderedPageBreak/>
        <w:t>References</w:t>
      </w:r>
    </w:p>
    <w:p w:rsidR="00450156" w:rsidRPr="00450156" w:rsidRDefault="00450156" w:rsidP="00450156">
      <w:r>
        <w:t>Chomitz, K.M., Buys, P., &amp; Thomas, T.S. (2005, June). Quantifying the rural-urban gradient in Latin</w:t>
      </w:r>
      <w:r>
        <w:tab/>
        <w:t>America and the Caribbean. Retrieved from</w:t>
      </w:r>
      <w:r>
        <w:tab/>
      </w:r>
      <w:r w:rsidRPr="00450156">
        <w:t>https://openknowledge.worldbank.org/bitstream/handle/10986/8317/wps3634.pdf?sequence</w:t>
      </w:r>
      <w:r>
        <w:t>=</w:t>
      </w:r>
      <w:r>
        <w:tab/>
      </w:r>
      <w:r w:rsidRPr="00450156">
        <w:t>1</w:t>
      </w:r>
    </w:p>
    <w:p w:rsidR="008F430E" w:rsidRDefault="008F430E">
      <w:r>
        <w:t xml:space="preserve">Deuskar, C. (2015, June 2). What does ‘urban’ mean? [Blog Post]. </w:t>
      </w:r>
      <w:r>
        <w:rPr>
          <w:i/>
        </w:rPr>
        <w:t xml:space="preserve">World Bank Blogs. </w:t>
      </w:r>
      <w:r>
        <w:t>Retrieved from</w:t>
      </w:r>
      <w:r>
        <w:tab/>
      </w:r>
      <w:hyperlink r:id="rId14" w:history="1">
        <w:r w:rsidR="00482AC0" w:rsidRPr="00482AC0">
          <w:t>https://blogs.worldbank.org/sustainablecities/what-does-urban-mean</w:t>
        </w:r>
      </w:hyperlink>
    </w:p>
    <w:p w:rsidR="00482AC0" w:rsidRDefault="00482AC0" w:rsidP="00482AC0">
      <w:r>
        <w:t>Florida, R. (2018, October 31). The talent dividend in urban and rural areas. Retrieved from</w:t>
      </w:r>
      <w:r>
        <w:tab/>
      </w:r>
      <w:hyperlink r:id="rId15" w:history="1">
        <w:r w:rsidRPr="00482AC0">
          <w:t>https://www.citylab.com/life/2018/10/college-education-workforce-urban-rural-divide-</w:t>
        </w:r>
        <w:r w:rsidRPr="00482AC0">
          <w:tab/>
          <w:t>jobs/574273/</w:t>
        </w:r>
      </w:hyperlink>
    </w:p>
    <w:p w:rsidR="001F0774" w:rsidRDefault="001F0774" w:rsidP="001F0774">
      <w:r>
        <w:t>Gettinger, A. (2019, March 6). One reason rural students don’t go to college: Colleges don’t go to them.</w:t>
      </w:r>
      <w:r>
        <w:tab/>
      </w:r>
      <w:r>
        <w:rPr>
          <w:i/>
        </w:rPr>
        <w:t>NPR</w:t>
      </w:r>
      <w:r>
        <w:t xml:space="preserve">. Retrieved from </w:t>
      </w:r>
      <w:r w:rsidRPr="00C60272">
        <w:t>https://wamu.org/story/19/03/06/one-reason-rural-students-dont-go-to</w:t>
      </w:r>
      <w:r w:rsidRPr="00C60272">
        <w:t>-</w:t>
      </w:r>
      <w:r w:rsidRPr="00C60272">
        <w:tab/>
      </w:r>
      <w:r w:rsidRPr="00C60272">
        <w:t>college-colleges-</w:t>
      </w:r>
      <w:proofErr w:type="spellStart"/>
      <w:r w:rsidRPr="00C60272">
        <w:t>dont</w:t>
      </w:r>
      <w:proofErr w:type="spellEnd"/>
      <w:r w:rsidRPr="00C60272">
        <w:t>-go-to-them/</w:t>
      </w:r>
    </w:p>
    <w:p w:rsidR="006C03D9" w:rsidRDefault="006C03D9" w:rsidP="006C03D9">
      <w:r>
        <w:t>Gomes, J.F., Grotteria, M., &amp; Wachter, J.A. (2018, March 23). Rural America is losing young people:</w:t>
      </w:r>
      <w:r>
        <w:tab/>
        <w:t xml:space="preserve">Consequences and solutions [Blog post]. </w:t>
      </w:r>
      <w:r>
        <w:rPr>
          <w:i/>
        </w:rPr>
        <w:t xml:space="preserve">Wharton Public Policy Initiative. </w:t>
      </w:r>
      <w:r>
        <w:t>Retrieved from</w:t>
      </w:r>
      <w:r>
        <w:tab/>
      </w:r>
      <w:r w:rsidR="0061312B" w:rsidRPr="0061312B">
        <w:t>https://publicpolicy.wharton.upenn.edu/live/news/2393-rural-america-is-losing-young-people-</w:t>
      </w:r>
    </w:p>
    <w:p w:rsidR="0061312B" w:rsidRPr="0061312B" w:rsidRDefault="0061312B" w:rsidP="0061312B">
      <w:r>
        <w:t xml:space="preserve">Koricich, A. (2014, April 4). The effects of rurality on college access and choice. </w:t>
      </w:r>
      <w:r>
        <w:rPr>
          <w:i/>
        </w:rPr>
        <w:t>American Educational</w:t>
      </w:r>
      <w:r>
        <w:rPr>
          <w:i/>
        </w:rPr>
        <w:tab/>
        <w:t>Research Association.</w:t>
      </w:r>
      <w:r>
        <w:t xml:space="preserve"> Retrieved from </w:t>
      </w:r>
      <w:hyperlink r:id="rId16" w:history="1">
        <w:r w:rsidRPr="0061312B">
          <w:t>http://www.aera.net/Portals/38/Newsroom%20</w:t>
        </w:r>
      </w:hyperlink>
      <w:r w:rsidRPr="0061312B">
        <w:tab/>
        <w:t>%20Recent%20Research/The%20Effects%20of%20Rurality%20on%20College%20Access%20and</w:t>
      </w:r>
      <w:r w:rsidRPr="0061312B">
        <w:tab/>
        <w:t>%20Choice.pdf?ver=2014-04-04-074023-417</w:t>
      </w:r>
    </w:p>
    <w:p w:rsidR="00B139F3" w:rsidRDefault="00B139F3" w:rsidP="00B139F3">
      <w:r>
        <w:t>Normality testing: Skewness and kurtosis. (n.d.). Retrieved from</w:t>
      </w:r>
      <w:r>
        <w:tab/>
      </w:r>
      <w:r w:rsidR="002606B3" w:rsidRPr="002606B3">
        <w:t>https://help.gooddata.com/doc/en/reporting-and-dashboards/maql-analytical-query-</w:t>
      </w:r>
      <w:r w:rsidR="002606B3" w:rsidRPr="002606B3">
        <w:tab/>
        <w:t>language/maql</w:t>
      </w:r>
      <w:r w:rsidR="00114342">
        <w:t>-</w:t>
      </w:r>
      <w:bookmarkStart w:id="0" w:name="_GoBack"/>
      <w:bookmarkEnd w:id="0"/>
      <w:r w:rsidR="002606B3" w:rsidRPr="002606B3">
        <w:t>expression-reference/aggregation-functions/statistical-functions/predictive-</w:t>
      </w:r>
      <w:r w:rsidR="002606B3" w:rsidRPr="002606B3">
        <w:tab/>
        <w:t>statistical-use</w:t>
      </w:r>
      <w:r w:rsidRPr="00EA7BB4">
        <w:t>-cases/normality-testing-skewness-and-kurtosis</w:t>
      </w:r>
    </w:p>
    <w:p w:rsidR="00145B91" w:rsidRPr="00145B91" w:rsidRDefault="00145B91" w:rsidP="00B139F3">
      <w:r>
        <w:t>Picchi, A. (2019, January 21). Rural America’s “brain drain”: How student debt is emptying small towns.</w:t>
      </w:r>
      <w:r>
        <w:tab/>
      </w:r>
      <w:r>
        <w:rPr>
          <w:i/>
        </w:rPr>
        <w:t xml:space="preserve">CBS News. </w:t>
      </w:r>
      <w:r>
        <w:t xml:space="preserve">Retrieved from </w:t>
      </w:r>
      <w:r w:rsidRPr="00145B91">
        <w:t>https://www.cbsnews.com/news/rural-americas-brain-drain-how</w:t>
      </w:r>
      <w:r>
        <w:t>-</w:t>
      </w:r>
      <w:r>
        <w:tab/>
      </w:r>
      <w:r w:rsidRPr="00145B91">
        <w:t>student-debt-is-emptying-small-towns/</w:t>
      </w:r>
    </w:p>
    <w:p w:rsidR="004F3003" w:rsidRDefault="004F3003" w:rsidP="00482AC0">
      <w:r>
        <w:t xml:space="preserve">Tabachnick, B.G. &amp; Fidell, L.S. (2007). </w:t>
      </w:r>
      <w:r>
        <w:rPr>
          <w:i/>
        </w:rPr>
        <w:t>Using multivariate statistics</w:t>
      </w:r>
      <w:r>
        <w:t xml:space="preserve"> (5</w:t>
      </w:r>
      <w:r w:rsidRPr="004F3003">
        <w:rPr>
          <w:vertAlign w:val="superscript"/>
        </w:rPr>
        <w:t>th</w:t>
      </w:r>
      <w:r>
        <w:t xml:space="preserve"> ed.) Boston, MA: Allyn and Bacon. </w:t>
      </w:r>
    </w:p>
    <w:p w:rsidR="00DC7024" w:rsidRPr="00DC7024" w:rsidRDefault="00DC7024" w:rsidP="00482AC0">
      <w:r>
        <w:t>World Bank. (2009). World development report: Reshaping economic geography. Retrieved from</w:t>
      </w:r>
      <w:r>
        <w:tab/>
      </w:r>
      <w:r w:rsidRPr="00DC7024">
        <w:t>https://openknowledge.worldbank.org/handle/10986/5991</w:t>
      </w:r>
    </w:p>
    <w:sectPr w:rsidR="00DC7024" w:rsidRPr="00DC702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D3A" w:rsidRDefault="005C1D3A" w:rsidP="0081575F">
      <w:pPr>
        <w:spacing w:after="0" w:line="240" w:lineRule="auto"/>
      </w:pPr>
      <w:r>
        <w:separator/>
      </w:r>
    </w:p>
  </w:endnote>
  <w:endnote w:type="continuationSeparator" w:id="0">
    <w:p w:rsidR="005C1D3A" w:rsidRDefault="005C1D3A" w:rsidP="00815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D3A" w:rsidRDefault="005C1D3A" w:rsidP="0081575F">
      <w:pPr>
        <w:spacing w:after="0" w:line="240" w:lineRule="auto"/>
      </w:pPr>
      <w:r>
        <w:separator/>
      </w:r>
    </w:p>
  </w:footnote>
  <w:footnote w:type="continuationSeparator" w:id="0">
    <w:p w:rsidR="005C1D3A" w:rsidRDefault="005C1D3A" w:rsidP="008157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52C" w:rsidRDefault="00AC452C">
    <w:pPr>
      <w:pStyle w:val="Header"/>
    </w:pPr>
    <w:r>
      <w:t>Sheppard – Demography –Module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75F"/>
    <w:rsid w:val="00016BBF"/>
    <w:rsid w:val="00040E0D"/>
    <w:rsid w:val="00114342"/>
    <w:rsid w:val="00145B91"/>
    <w:rsid w:val="001803FA"/>
    <w:rsid w:val="001A13F1"/>
    <w:rsid w:val="001F0774"/>
    <w:rsid w:val="00217279"/>
    <w:rsid w:val="00221D6A"/>
    <w:rsid w:val="002606B3"/>
    <w:rsid w:val="00291B79"/>
    <w:rsid w:val="002A2695"/>
    <w:rsid w:val="002B0E17"/>
    <w:rsid w:val="002E2445"/>
    <w:rsid w:val="002F00D6"/>
    <w:rsid w:val="00317DA4"/>
    <w:rsid w:val="0038450B"/>
    <w:rsid w:val="003B700C"/>
    <w:rsid w:val="003F5322"/>
    <w:rsid w:val="003F54EB"/>
    <w:rsid w:val="00422352"/>
    <w:rsid w:val="00450156"/>
    <w:rsid w:val="00482AC0"/>
    <w:rsid w:val="004A2FEB"/>
    <w:rsid w:val="004F3003"/>
    <w:rsid w:val="004F7865"/>
    <w:rsid w:val="00531A28"/>
    <w:rsid w:val="00563C28"/>
    <w:rsid w:val="00593BC3"/>
    <w:rsid w:val="005C1D3A"/>
    <w:rsid w:val="005E2985"/>
    <w:rsid w:val="005E3408"/>
    <w:rsid w:val="005F7FB2"/>
    <w:rsid w:val="006001AC"/>
    <w:rsid w:val="0061312B"/>
    <w:rsid w:val="006305B9"/>
    <w:rsid w:val="006438E9"/>
    <w:rsid w:val="00650B8E"/>
    <w:rsid w:val="00657E8B"/>
    <w:rsid w:val="006812FF"/>
    <w:rsid w:val="006B0885"/>
    <w:rsid w:val="006C03D9"/>
    <w:rsid w:val="006F5E11"/>
    <w:rsid w:val="00700602"/>
    <w:rsid w:val="00706400"/>
    <w:rsid w:val="0081575F"/>
    <w:rsid w:val="00870790"/>
    <w:rsid w:val="008B466B"/>
    <w:rsid w:val="008C2ACE"/>
    <w:rsid w:val="008F430E"/>
    <w:rsid w:val="00955BA9"/>
    <w:rsid w:val="009B2905"/>
    <w:rsid w:val="009B4CCC"/>
    <w:rsid w:val="009D295B"/>
    <w:rsid w:val="009E1D1A"/>
    <w:rsid w:val="00A16500"/>
    <w:rsid w:val="00A17B68"/>
    <w:rsid w:val="00A70BB8"/>
    <w:rsid w:val="00A70CF8"/>
    <w:rsid w:val="00A737E4"/>
    <w:rsid w:val="00A9421D"/>
    <w:rsid w:val="00AC452C"/>
    <w:rsid w:val="00B139F3"/>
    <w:rsid w:val="00B15BCC"/>
    <w:rsid w:val="00B86A4D"/>
    <w:rsid w:val="00BB2CD4"/>
    <w:rsid w:val="00BB34C5"/>
    <w:rsid w:val="00C54701"/>
    <w:rsid w:val="00C60272"/>
    <w:rsid w:val="00CD4C95"/>
    <w:rsid w:val="00CE774B"/>
    <w:rsid w:val="00D3519E"/>
    <w:rsid w:val="00D5233D"/>
    <w:rsid w:val="00DC7024"/>
    <w:rsid w:val="00E315A7"/>
    <w:rsid w:val="00EA7BB4"/>
    <w:rsid w:val="00EC7CC3"/>
    <w:rsid w:val="00F3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3D1A"/>
  <w15:chartTrackingRefBased/>
  <w15:docId w15:val="{254A7303-D96E-4A13-8FB4-C5D5EB5F5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75F"/>
  </w:style>
  <w:style w:type="paragraph" w:styleId="Footer">
    <w:name w:val="footer"/>
    <w:basedOn w:val="Normal"/>
    <w:link w:val="FooterChar"/>
    <w:uiPriority w:val="99"/>
    <w:unhideWhenUsed/>
    <w:rsid w:val="00815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75F"/>
  </w:style>
  <w:style w:type="character" w:styleId="Hyperlink">
    <w:name w:val="Hyperlink"/>
    <w:basedOn w:val="DefaultParagraphFont"/>
    <w:uiPriority w:val="99"/>
    <w:unhideWhenUsed/>
    <w:rsid w:val="008F430E"/>
    <w:rPr>
      <w:color w:val="0000FF"/>
      <w:u w:val="single"/>
    </w:rPr>
  </w:style>
  <w:style w:type="character" w:styleId="UnresolvedMention">
    <w:name w:val="Unresolved Mention"/>
    <w:basedOn w:val="DefaultParagraphFont"/>
    <w:uiPriority w:val="99"/>
    <w:semiHidden/>
    <w:unhideWhenUsed/>
    <w:rsid w:val="00450156"/>
    <w:rPr>
      <w:color w:val="605E5C"/>
      <w:shd w:val="clear" w:color="auto" w:fill="E1DFDD"/>
    </w:rPr>
  </w:style>
  <w:style w:type="paragraph" w:styleId="BalloonText">
    <w:name w:val="Balloon Text"/>
    <w:basedOn w:val="Normal"/>
    <w:link w:val="BalloonTextChar"/>
    <w:uiPriority w:val="99"/>
    <w:semiHidden/>
    <w:unhideWhenUsed/>
    <w:rsid w:val="009E1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D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aera.net/Portals/38/Newsroom%20"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citylab.com/life/2018/10/college-education-workforce-urban-rural-divide-%09jobs/574273/"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blogs.worldbank.org/sustainablecities/what-does-urban-m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7</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lisheppa</dc:creator>
  <cp:keywords/>
  <dc:description/>
  <cp:lastModifiedBy>lisheppa</cp:lastModifiedBy>
  <cp:revision>52</cp:revision>
  <dcterms:created xsi:type="dcterms:W3CDTF">2019-09-19T13:28:00Z</dcterms:created>
  <dcterms:modified xsi:type="dcterms:W3CDTF">2019-09-20T14:50:00Z</dcterms:modified>
</cp:coreProperties>
</file>