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4A6" w:rsidRDefault="009B0843">
      <w:r>
        <w:t xml:space="preserve">Lindsay Sheppard </w:t>
      </w:r>
    </w:p>
    <w:p w:rsidR="009B0843" w:rsidRDefault="009B0843">
      <w:r>
        <w:t>Sociology 565: Demography</w:t>
      </w:r>
    </w:p>
    <w:p w:rsidR="009B0843" w:rsidRDefault="009B0843">
      <w:r>
        <w:t>Demography Report 4: Fertility</w:t>
      </w:r>
    </w:p>
    <w:p w:rsidR="00A07EE6" w:rsidRDefault="00A07EE6">
      <w:pPr>
        <w:rPr>
          <w:b/>
        </w:rPr>
      </w:pPr>
      <w:r w:rsidRPr="00A07EE6">
        <w:rPr>
          <w:b/>
        </w:rPr>
        <w:t>Overview</w:t>
      </w:r>
    </w:p>
    <w:p w:rsidR="00E82439" w:rsidRDefault="00E82439" w:rsidP="00F53227">
      <w:pPr>
        <w:spacing w:line="360" w:lineRule="auto"/>
        <w:contextualSpacing/>
      </w:pPr>
      <w:r>
        <w:rPr>
          <w:b/>
        </w:rPr>
        <w:tab/>
      </w:r>
      <w:r w:rsidR="00B33AC8">
        <w:t xml:space="preserve">Fertility is defined as the quality of being able to produce offspring (Fertility, n.d.) </w:t>
      </w:r>
      <w:r w:rsidR="007E4C4E">
        <w:t>It is the condition necessary for births, which are</w:t>
      </w:r>
      <w:r w:rsidR="00B33AC8">
        <w:t xml:space="preserve"> vital events of great interest to demographers</w:t>
      </w:r>
      <w:r w:rsidR="007E4C4E">
        <w:t xml:space="preserve">. </w:t>
      </w:r>
      <w:r w:rsidR="00B33AC8">
        <w:t>While births are often viewed from the perspective of the newborn, fertility puts emphasis on the status of a parent, usually the mother (Weinstein and Pillai, 2016). In other words, when a birth occurs, the fertility level of a mother increases by one (Weinstein and Pillai, 2016).</w:t>
      </w:r>
    </w:p>
    <w:p w:rsidR="00B33AC8" w:rsidRDefault="00B33AC8" w:rsidP="00F53227">
      <w:pPr>
        <w:spacing w:line="360" w:lineRule="auto"/>
        <w:contextualSpacing/>
      </w:pPr>
      <w:r>
        <w:tab/>
        <w:t xml:space="preserve">Births are often measured by crude birth rate (CBR) which derives from the total population, </w:t>
      </w:r>
      <w:r w:rsidR="00223822">
        <w:t>but</w:t>
      </w:r>
      <w:r>
        <w:t xml:space="preserve"> </w:t>
      </w:r>
      <w:r w:rsidR="00F53227">
        <w:t>“</w:t>
      </w:r>
      <w:r>
        <w:t>fertility</w:t>
      </w:r>
      <w:r w:rsidR="00F53227">
        <w:t>”</w:t>
      </w:r>
      <w:r w:rsidR="006817A5">
        <w:t xml:space="preserve"> </w:t>
      </w:r>
      <w:r w:rsidR="007E4C4E">
        <w:t>rates are calculated from a</w:t>
      </w:r>
      <w:r w:rsidR="006817A5">
        <w:t xml:space="preserve"> population of fertile women. The most common period measure of fertility is known as the total fertility rate (TFR), which estimates the average number of children born to a woman over her lifetime if she experiences exact age-specific fertility rates (ASFR) through her lifetime, and if she survives from birth to the end of her reproductive period (Total fertility rate, n.d.). In fact, the TFR is a weighted sum that is calculated through adding together all ASFRs for each cohort, and then multiplying the sum by the size of each age interval (Weinstein and Pillai, 2016).</w:t>
      </w:r>
      <w:r w:rsidR="005824EB">
        <w:t xml:space="preserve"> </w:t>
      </w:r>
    </w:p>
    <w:p w:rsidR="005824EB" w:rsidRDefault="005824EB" w:rsidP="00F53227">
      <w:pPr>
        <w:spacing w:line="360" w:lineRule="auto"/>
        <w:contextualSpacing/>
      </w:pPr>
      <w:r>
        <w:tab/>
        <w:t xml:space="preserve">There are other fertility measures, such as the general fertility rate (GFR), the gross reproduction rate (GRR), and the net reproduction rate (NRR). In particular, the gross reproduction rate is similar to the TFR, but accounts for only female births. It looks specifically at reproduction, or, the ability for a population to sustain its size over time (Weinstein and Pillai, 2016). </w:t>
      </w:r>
      <w:r w:rsidR="00D643CD">
        <w:t xml:space="preserve">The NRR is the same as the GRR but </w:t>
      </w:r>
      <w:r w:rsidR="00815E93">
        <w:t>suggests the average number of daughters a woman would have ‘if she survives her lifetime subject to the age-specific fertility rate and mortality rate throughout that period’ (Gross reproduction rate, n.d.).</w:t>
      </w:r>
      <w:r w:rsidR="00D643CD">
        <w:t xml:space="preserve"> </w:t>
      </w:r>
    </w:p>
    <w:p w:rsidR="009F48C0" w:rsidRDefault="006817A5" w:rsidP="00815E93">
      <w:pPr>
        <w:spacing w:line="360" w:lineRule="auto"/>
        <w:contextualSpacing/>
      </w:pPr>
      <w:r>
        <w:tab/>
        <w:t xml:space="preserve">According to Weinstein and Pillai (2016), CBRs and TFRs are correlated with other factors, such as a nation’s per-capita </w:t>
      </w:r>
      <w:r w:rsidR="005824EB">
        <w:t>gross domestic product (</w:t>
      </w:r>
      <w:r>
        <w:t>GDP</w:t>
      </w:r>
      <w:r w:rsidR="00625DE8">
        <w:t xml:space="preserve"> per capita</w:t>
      </w:r>
      <w:r w:rsidR="005824EB">
        <w:t>)</w:t>
      </w:r>
      <w:r>
        <w:t xml:space="preserve">. In the </w:t>
      </w:r>
      <w:r w:rsidR="005824EB">
        <w:t xml:space="preserve">table </w:t>
      </w:r>
      <w:r>
        <w:t>provided</w:t>
      </w:r>
      <w:r w:rsidR="005824EB">
        <w:t xml:space="preserve"> by Weinstein and Pillai (2016, pp. 105-106)</w:t>
      </w:r>
      <w:r>
        <w:t>, countries with high birth rates had low GDP</w:t>
      </w:r>
      <w:r w:rsidR="00625DE8">
        <w:t xml:space="preserve"> per capita</w:t>
      </w:r>
      <w:r>
        <w:t xml:space="preserve"> and varying TFRs, though many of the countries with high CBRs also </w:t>
      </w:r>
      <w:r w:rsidR="005824EB">
        <w:t>have high TFRs. To examine the relationship between fertility rate</w:t>
      </w:r>
      <w:r w:rsidR="00F53227">
        <w:t>, reproduction rate,</w:t>
      </w:r>
      <w:r w:rsidR="005824EB">
        <w:t xml:space="preserve"> and GDP, a file titled wdi.sav was uploaded into IBM SPSS version 24 and analyzed using descriptive statistics and Pearson’s correlation. The variables </w:t>
      </w:r>
      <w:r w:rsidR="005824EB" w:rsidRPr="00586294">
        <w:rPr>
          <w:i/>
        </w:rPr>
        <w:t>@2010.399  (GDP (Current US$))</w:t>
      </w:r>
      <w:r w:rsidR="005824EB">
        <w:t xml:space="preserve">, </w:t>
      </w:r>
      <w:r w:rsidR="005824EB" w:rsidRPr="00586294">
        <w:rPr>
          <w:i/>
        </w:rPr>
        <w:t>@</w:t>
      </w:r>
      <w:r w:rsidR="00815E93">
        <w:rPr>
          <w:i/>
        </w:rPr>
        <w:t>2010.110</w:t>
      </w:r>
      <w:r w:rsidR="00C53FC9">
        <w:rPr>
          <w:i/>
        </w:rPr>
        <w:t>4</w:t>
      </w:r>
      <w:r w:rsidR="00815E93">
        <w:rPr>
          <w:i/>
        </w:rPr>
        <w:t xml:space="preserve"> (School enrollment, primary, female (% </w:t>
      </w:r>
      <w:r w:rsidR="00C53FC9">
        <w:rPr>
          <w:i/>
        </w:rPr>
        <w:t>net</w:t>
      </w:r>
      <w:r w:rsidR="005824EB" w:rsidRPr="00586294">
        <w:rPr>
          <w:i/>
        </w:rPr>
        <w:t>)</w:t>
      </w:r>
      <w:r w:rsidR="005824EB">
        <w:t xml:space="preserve">, and </w:t>
      </w:r>
      <w:r w:rsidR="005824EB" w:rsidRPr="00586294">
        <w:rPr>
          <w:i/>
        </w:rPr>
        <w:t>@2010.358 (Fertility rate, total (births per woman))</w:t>
      </w:r>
      <w:r w:rsidR="005824EB">
        <w:t xml:space="preserve">, or </w:t>
      </w:r>
      <w:r w:rsidR="005824EB">
        <w:rPr>
          <w:i/>
        </w:rPr>
        <w:t>GDP,</w:t>
      </w:r>
      <w:r w:rsidR="00815E93">
        <w:rPr>
          <w:i/>
        </w:rPr>
        <w:t xml:space="preserve"> primary</w:t>
      </w:r>
      <w:r w:rsidR="005824EB">
        <w:rPr>
          <w:i/>
        </w:rPr>
        <w:t xml:space="preserve">, </w:t>
      </w:r>
      <w:r w:rsidR="005824EB">
        <w:t xml:space="preserve">and </w:t>
      </w:r>
      <w:r w:rsidR="005824EB">
        <w:rPr>
          <w:i/>
        </w:rPr>
        <w:t xml:space="preserve">fertility, </w:t>
      </w:r>
      <w:r w:rsidR="005824EB" w:rsidRPr="005824EB">
        <w:t xml:space="preserve">respectively </w:t>
      </w:r>
      <w:r w:rsidR="005824EB">
        <w:t xml:space="preserve">were chosen. As the variables contained </w:t>
      </w:r>
      <w:r w:rsidR="00586294">
        <w:t>‘</w:t>
      </w:r>
      <w:r w:rsidR="005824EB">
        <w:t>2010</w:t>
      </w:r>
      <w:r w:rsidR="00586294">
        <w:t>’</w:t>
      </w:r>
      <w:r w:rsidR="005824EB">
        <w:t xml:space="preserve"> in their labels, </w:t>
      </w:r>
      <w:r w:rsidR="009F48C0">
        <w:t>the data was assumed to be from the year 2010</w:t>
      </w:r>
      <w:r w:rsidR="005824EB">
        <w:t xml:space="preserve">. </w:t>
      </w:r>
    </w:p>
    <w:p w:rsidR="006817A5" w:rsidRPr="006A302D" w:rsidRDefault="00FC7B81" w:rsidP="009F48C0">
      <w:pPr>
        <w:spacing w:line="360" w:lineRule="auto"/>
        <w:ind w:firstLine="720"/>
        <w:contextualSpacing/>
      </w:pPr>
      <w:r>
        <w:lastRenderedPageBreak/>
        <w:t xml:space="preserve">The variable </w:t>
      </w:r>
      <w:r w:rsidR="005824EB" w:rsidRPr="00FC7B81">
        <w:rPr>
          <w:i/>
        </w:rPr>
        <w:t xml:space="preserve">GDP </w:t>
      </w:r>
      <w:r w:rsidRPr="00FC7B81">
        <w:rPr>
          <w:i/>
        </w:rPr>
        <w:t>(</w:t>
      </w:r>
      <w:r w:rsidR="005824EB" w:rsidRPr="00FC7B81">
        <w:rPr>
          <w:i/>
        </w:rPr>
        <w:t>current US dollars</w:t>
      </w:r>
      <w:r w:rsidR="006A302D">
        <w:t xml:space="preserve"> (</w:t>
      </w:r>
      <w:r w:rsidR="006A302D" w:rsidRPr="00FC7B81">
        <w:rPr>
          <w:i/>
        </w:rPr>
        <w:t>USD</w:t>
      </w:r>
      <w:r w:rsidR="006A302D">
        <w:t>)</w:t>
      </w:r>
      <w:r>
        <w:t>)</w:t>
      </w:r>
      <w:r w:rsidR="005824EB">
        <w:t xml:space="preserve"> </w:t>
      </w:r>
      <w:r>
        <w:t xml:space="preserve">was selected </w:t>
      </w:r>
      <w:r w:rsidR="005824EB">
        <w:t xml:space="preserve">due to </w:t>
      </w:r>
      <w:r w:rsidR="006A302D">
        <w:t xml:space="preserve">familiarity with that particular currency. </w:t>
      </w:r>
      <w:r>
        <w:t xml:space="preserve">The </w:t>
      </w:r>
      <w:r w:rsidR="00625DE8">
        <w:t>GDP</w:t>
      </w:r>
      <w:r>
        <w:t>, or</w:t>
      </w:r>
      <w:r w:rsidR="00625DE8">
        <w:t xml:space="preserve"> total economic output of a country, was used instead of GDP per capita. </w:t>
      </w:r>
      <w:r w:rsidR="006A302D">
        <w:t xml:space="preserve">The </w:t>
      </w:r>
      <w:r w:rsidR="006A302D">
        <w:rPr>
          <w:i/>
        </w:rPr>
        <w:t>p</w:t>
      </w:r>
      <w:r w:rsidR="00815E93">
        <w:rPr>
          <w:i/>
        </w:rPr>
        <w:t>rimary</w:t>
      </w:r>
      <w:r w:rsidR="006A302D">
        <w:t xml:space="preserve"> variable </w:t>
      </w:r>
      <w:r>
        <w:t>provided</w:t>
      </w:r>
      <w:r w:rsidR="006A302D">
        <w:t xml:space="preserve"> an idea of </w:t>
      </w:r>
      <w:r>
        <w:t>the number of</w:t>
      </w:r>
      <w:r w:rsidR="006A302D">
        <w:t xml:space="preserve"> female</w:t>
      </w:r>
      <w:r>
        <w:t xml:space="preserve"> primary</w:t>
      </w:r>
      <w:r w:rsidR="006A302D">
        <w:t xml:space="preserve"> </w:t>
      </w:r>
      <w:r>
        <w:t xml:space="preserve">school-aged </w:t>
      </w:r>
      <w:r w:rsidR="006A302D">
        <w:t>children</w:t>
      </w:r>
      <w:r w:rsidR="00815E93">
        <w:t xml:space="preserve"> in</w:t>
      </w:r>
      <w:r w:rsidR="006A302D">
        <w:t xml:space="preserve"> </w:t>
      </w:r>
      <w:r w:rsidR="00C53FC9">
        <w:t>each</w:t>
      </w:r>
      <w:r w:rsidR="006A302D">
        <w:t xml:space="preserve"> nation</w:t>
      </w:r>
      <w:r w:rsidR="00815E93">
        <w:t>, regardless of age,</w:t>
      </w:r>
      <w:r w:rsidR="00C53FC9">
        <w:t xml:space="preserve"> to </w:t>
      </w:r>
      <w:r w:rsidR="00625DE8">
        <w:t xml:space="preserve">examine reproduction rate (i.e. </w:t>
      </w:r>
      <w:r w:rsidR="007A4908">
        <w:t>N</w:t>
      </w:r>
      <w:r w:rsidR="00625DE8">
        <w:t>RR)</w:t>
      </w:r>
      <w:r w:rsidR="006A302D">
        <w:t xml:space="preserve">. </w:t>
      </w:r>
      <w:r w:rsidR="007A4908">
        <w:t xml:space="preserve">There </w:t>
      </w:r>
      <w:r w:rsidR="00C53FC9">
        <w:t xml:space="preserve">are </w:t>
      </w:r>
      <w:r w:rsidR="007A4908">
        <w:t xml:space="preserve">“gross” </w:t>
      </w:r>
      <w:r w:rsidR="00C53FC9">
        <w:t xml:space="preserve">school </w:t>
      </w:r>
      <w:r w:rsidR="007A4908">
        <w:t>enrollment variable</w:t>
      </w:r>
      <w:r w:rsidR="00C53FC9">
        <w:t>s</w:t>
      </w:r>
      <w:r w:rsidR="007A4908">
        <w:t xml:space="preserve"> as well; the gross </w:t>
      </w:r>
      <w:r w:rsidR="00C53FC9">
        <w:t xml:space="preserve">(GER) </w:t>
      </w:r>
      <w:r w:rsidR="007A4908">
        <w:t xml:space="preserve">includes </w:t>
      </w:r>
      <w:r w:rsidR="00C53FC9">
        <w:t>students</w:t>
      </w:r>
      <w:r w:rsidR="007A4908">
        <w:t xml:space="preserve"> regardless of age and those who have repeated grades</w:t>
      </w:r>
      <w:r>
        <w:t xml:space="preserve">, net enrollment does not </w:t>
      </w:r>
      <w:r w:rsidR="007A4908">
        <w:t>(</w:t>
      </w:r>
      <w:r w:rsidR="00C53FC9">
        <w:t xml:space="preserve">Huebler, 2005). </w:t>
      </w:r>
      <w:r w:rsidR="00FD0763" w:rsidRPr="00FD0763">
        <w:t>The variable</w:t>
      </w:r>
      <w:r w:rsidR="00FD0763">
        <w:rPr>
          <w:i/>
        </w:rPr>
        <w:t xml:space="preserve"> fertility </w:t>
      </w:r>
      <w:r w:rsidR="00625DE8">
        <w:t xml:space="preserve">is </w:t>
      </w:r>
      <w:r w:rsidR="006A302D">
        <w:t>self-explanatory.</w:t>
      </w:r>
    </w:p>
    <w:p w:rsidR="00A07EE6" w:rsidRDefault="00A07EE6">
      <w:pPr>
        <w:rPr>
          <w:b/>
        </w:rPr>
      </w:pPr>
      <w:r w:rsidRPr="00A07EE6">
        <w:rPr>
          <w:b/>
        </w:rPr>
        <w:t>Descriptive Statistics</w:t>
      </w:r>
    </w:p>
    <w:p w:rsidR="00F53227" w:rsidRDefault="006A302D" w:rsidP="00CC27B1">
      <w:pPr>
        <w:spacing w:line="360" w:lineRule="auto"/>
      </w:pPr>
      <w:r>
        <w:rPr>
          <w:b/>
        </w:rPr>
        <w:tab/>
      </w:r>
      <w:r w:rsidR="00E146F8">
        <w:t xml:space="preserve">Using the steps Analyze -&gt; Descriptive Statistics -&gt; Frequencies, SPSS generated a table (Figure 1) that provided information on the three variables. </w:t>
      </w:r>
      <w:r w:rsidR="00FC7B81">
        <w:t>Each</w:t>
      </w:r>
      <w:r w:rsidR="00E146F8">
        <w:t xml:space="preserve"> variable is missing some values; by default, SPSS ignor</w:t>
      </w:r>
      <w:r w:rsidR="00FC7B81">
        <w:t>ed them</w:t>
      </w:r>
      <w:r w:rsidR="00E146F8">
        <w:t xml:space="preserve">. As the current report was concerned with determining </w:t>
      </w:r>
      <w:r w:rsidR="006926D3">
        <w:t xml:space="preserve">a basic </w:t>
      </w:r>
      <w:r w:rsidR="00E146F8">
        <w:t>relationship between these variables, missing values</w:t>
      </w:r>
      <w:r w:rsidR="00FC7B81">
        <w:t xml:space="preserve"> were not imputed</w:t>
      </w:r>
      <w:r w:rsidR="00F53227">
        <w:t xml:space="preserve">; this may slightly bias parameter estimates or lead to a decrease in statistical power, yet for the current analysis the bias may be trivial (Lodder, 2013). </w:t>
      </w:r>
    </w:p>
    <w:p w:rsidR="007A4908" w:rsidRDefault="007A4908" w:rsidP="00062325">
      <w:pPr>
        <w:spacing w:line="360" w:lineRule="auto"/>
        <w:jc w:val="center"/>
      </w:pPr>
      <w:r>
        <w:rPr>
          <w:noProof/>
        </w:rPr>
        <w:drawing>
          <wp:inline distT="0" distB="0" distL="0" distR="0" wp14:anchorId="38649D8D">
            <wp:extent cx="4089426" cy="4339087"/>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685" cy="4414696"/>
                    </a:xfrm>
                    <a:prstGeom prst="rect">
                      <a:avLst/>
                    </a:prstGeom>
                    <a:noFill/>
                  </pic:spPr>
                </pic:pic>
              </a:graphicData>
            </a:graphic>
          </wp:inline>
        </w:drawing>
      </w:r>
    </w:p>
    <w:p w:rsidR="00F53227" w:rsidRDefault="00E146F8">
      <w:pPr>
        <w:rPr>
          <w:i/>
        </w:rPr>
      </w:pPr>
      <w:r w:rsidRPr="00E146F8">
        <w:rPr>
          <w:b/>
        </w:rPr>
        <w:t>Figure 1</w:t>
      </w:r>
      <w:r>
        <w:t xml:space="preserve">: Descriptive statistics for </w:t>
      </w:r>
      <w:r>
        <w:rPr>
          <w:i/>
        </w:rPr>
        <w:t>GDP, p</w:t>
      </w:r>
      <w:r w:rsidR="007A4908">
        <w:rPr>
          <w:i/>
        </w:rPr>
        <w:t>rimary</w:t>
      </w:r>
      <w:r>
        <w:rPr>
          <w:i/>
        </w:rPr>
        <w:t xml:space="preserve">, </w:t>
      </w:r>
      <w:r>
        <w:t xml:space="preserve">and </w:t>
      </w:r>
      <w:r>
        <w:rPr>
          <w:i/>
        </w:rPr>
        <w:t>fertility</w:t>
      </w:r>
    </w:p>
    <w:p w:rsidR="007E4C4E" w:rsidRDefault="007E4C4E" w:rsidP="00837794">
      <w:pPr>
        <w:spacing w:line="360" w:lineRule="auto"/>
        <w:rPr>
          <w:u w:val="single"/>
        </w:rPr>
      </w:pPr>
    </w:p>
    <w:p w:rsidR="00BE2341" w:rsidRPr="00BE2341" w:rsidRDefault="00BE2341" w:rsidP="00837794">
      <w:pPr>
        <w:spacing w:line="360" w:lineRule="auto"/>
        <w:rPr>
          <w:u w:val="single"/>
        </w:rPr>
      </w:pPr>
      <w:r w:rsidRPr="00BE2341">
        <w:rPr>
          <w:u w:val="single"/>
        </w:rPr>
        <w:lastRenderedPageBreak/>
        <w:t>GDP</w:t>
      </w:r>
      <w:r w:rsidR="00F53227" w:rsidRPr="00BE2341">
        <w:tab/>
      </w:r>
    </w:p>
    <w:p w:rsidR="0087472E" w:rsidRDefault="00F53227" w:rsidP="00BE2341">
      <w:pPr>
        <w:spacing w:line="360" w:lineRule="auto"/>
        <w:ind w:firstLine="720"/>
      </w:pPr>
      <w:r>
        <w:t xml:space="preserve">The mean </w:t>
      </w:r>
      <w:r w:rsidR="00625DE8">
        <w:t>GDP for the countries in the dataset reported to be approximately 3.30 x 10</w:t>
      </w:r>
      <w:r w:rsidR="00625DE8">
        <w:rPr>
          <w:vertAlign w:val="superscript"/>
        </w:rPr>
        <w:t>11</w:t>
      </w:r>
      <w:r w:rsidR="008D584C">
        <w:t xml:space="preserve"> (330</w:t>
      </w:r>
      <w:r w:rsidR="00625DE8">
        <w:t xml:space="preserve"> billion</w:t>
      </w:r>
      <w:r w:rsidR="008D584C">
        <w:t xml:space="preserve">) </w:t>
      </w:r>
      <w:r w:rsidR="00625DE8">
        <w:t>USD.</w:t>
      </w:r>
      <w:r w:rsidR="008D584C">
        <w:t xml:space="preserve"> However, the standard deviation, which measures how widely spread the data is, is very large at 1.26 x 10</w:t>
      </w:r>
      <w:r w:rsidR="008D584C">
        <w:rPr>
          <w:vertAlign w:val="superscript"/>
        </w:rPr>
        <w:t xml:space="preserve">12 </w:t>
      </w:r>
      <w:r w:rsidR="008D584C">
        <w:t xml:space="preserve">(over 1 trillion) USD. The large reported variance and range indicate there are both extremely wealthy countries and </w:t>
      </w:r>
      <w:r w:rsidR="00FC7B81">
        <w:t>relatively</w:t>
      </w:r>
      <w:r w:rsidR="008D584C">
        <w:t xml:space="preserve"> poor countries, with a maximum of</w:t>
      </w:r>
      <w:r w:rsidR="00837794">
        <w:t xml:space="preserve"> over</w:t>
      </w:r>
      <w:r w:rsidR="008D584C">
        <w:t xml:space="preserve"> 14 trillion USD (</w:t>
      </w:r>
      <w:r w:rsidR="00837794">
        <w:t>United States of America</w:t>
      </w:r>
      <w:r w:rsidR="008D584C">
        <w:t>) and a minimum of 31 million USD (Tuvalu).</w:t>
      </w:r>
      <w:r w:rsidR="00837794">
        <w:t xml:space="preserve"> The </w:t>
      </w:r>
      <w:r w:rsidR="0087472E">
        <w:t>substantial</w:t>
      </w:r>
      <w:r w:rsidR="00837794">
        <w:t xml:space="preserve"> positive skewness and kurtosis </w:t>
      </w:r>
      <w:r w:rsidR="0087472E">
        <w:t xml:space="preserve">values </w:t>
      </w:r>
      <w:r w:rsidR="00837794">
        <w:t>indicate</w:t>
      </w:r>
      <w:r w:rsidR="0087472E">
        <w:t>d</w:t>
      </w:r>
      <w:r w:rsidR="00837794">
        <w:t xml:space="preserve"> that the GDP variable </w:t>
      </w:r>
      <w:r w:rsidR="00D77FEF">
        <w:t>benefitted</w:t>
      </w:r>
      <w:r w:rsidR="0087472E">
        <w:t xml:space="preserve"> </w:t>
      </w:r>
      <w:r w:rsidR="00837794">
        <w:t>from normalization using a</w:t>
      </w:r>
      <w:r w:rsidR="0087472E">
        <w:t xml:space="preserve"> logarithmic transformation.</w:t>
      </w:r>
    </w:p>
    <w:p w:rsidR="00837794" w:rsidRPr="00062325" w:rsidRDefault="00837794" w:rsidP="00062325">
      <w:pPr>
        <w:spacing w:line="360" w:lineRule="auto"/>
        <w:ind w:firstLine="720"/>
      </w:pPr>
      <w:r>
        <w:t xml:space="preserve">The distribution of </w:t>
      </w:r>
      <w:r>
        <w:rPr>
          <w:i/>
        </w:rPr>
        <w:t xml:space="preserve">GDP </w:t>
      </w:r>
      <w:r w:rsidR="0087472E">
        <w:t xml:space="preserve">prior to normalization </w:t>
      </w:r>
      <w:r>
        <w:t>can be viewed in Figure 2.</w:t>
      </w:r>
      <w:r w:rsidR="0087472E">
        <w:t xml:space="preserve"> The post-normalization (Figure 3) statistics showed a new skewness value of .027 and kurtosis value of -.281. </w:t>
      </w:r>
      <w:r w:rsidR="00062325">
        <w:t xml:space="preserve">Figure 4 displays the distribution of </w:t>
      </w:r>
      <w:r w:rsidR="00062325">
        <w:rPr>
          <w:i/>
        </w:rPr>
        <w:t xml:space="preserve">GDP </w:t>
      </w:r>
      <w:r w:rsidR="00062325">
        <w:t>(</w:t>
      </w:r>
      <w:r w:rsidR="00062325" w:rsidRPr="00062325">
        <w:t>log@2010.399</w:t>
      </w:r>
      <w:r w:rsidR="00062325">
        <w:t xml:space="preserve">) after the log transformation. </w:t>
      </w:r>
    </w:p>
    <w:p w:rsidR="00837794" w:rsidRDefault="0087472E" w:rsidP="00062325">
      <w:pPr>
        <w:spacing w:line="360" w:lineRule="auto"/>
        <w:jc w:val="center"/>
      </w:pPr>
      <w:r>
        <w:rPr>
          <w:noProof/>
        </w:rPr>
        <w:drawing>
          <wp:inline distT="0" distB="0" distL="0" distR="0" wp14:anchorId="064D3576">
            <wp:extent cx="5505450" cy="4652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1087" cy="4665914"/>
                    </a:xfrm>
                    <a:prstGeom prst="rect">
                      <a:avLst/>
                    </a:prstGeom>
                    <a:noFill/>
                  </pic:spPr>
                </pic:pic>
              </a:graphicData>
            </a:graphic>
          </wp:inline>
        </w:drawing>
      </w:r>
    </w:p>
    <w:p w:rsidR="0087472E" w:rsidRPr="0087472E" w:rsidRDefault="0087472E" w:rsidP="00837794">
      <w:pPr>
        <w:spacing w:line="360" w:lineRule="auto"/>
      </w:pPr>
      <w:r w:rsidRPr="0087472E">
        <w:rPr>
          <w:b/>
        </w:rPr>
        <w:t>Figure 2:</w:t>
      </w:r>
      <w:r>
        <w:t xml:space="preserve"> Histogram of </w:t>
      </w:r>
      <w:r>
        <w:rPr>
          <w:i/>
        </w:rPr>
        <w:t>GDP</w:t>
      </w:r>
      <w:r>
        <w:t xml:space="preserve"> prior to normalization </w:t>
      </w:r>
    </w:p>
    <w:p w:rsidR="00A07EE6" w:rsidRDefault="00062325" w:rsidP="00062325">
      <w:pPr>
        <w:spacing w:line="360" w:lineRule="auto"/>
        <w:jc w:val="center"/>
      </w:pPr>
      <w:r>
        <w:rPr>
          <w:noProof/>
        </w:rPr>
        <w:lastRenderedPageBreak/>
        <w:drawing>
          <wp:inline distT="0" distB="0" distL="0" distR="0" wp14:anchorId="5EEA69AD">
            <wp:extent cx="1736401" cy="3448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38" cy="3459086"/>
                    </a:xfrm>
                    <a:prstGeom prst="rect">
                      <a:avLst/>
                    </a:prstGeom>
                    <a:noFill/>
                  </pic:spPr>
                </pic:pic>
              </a:graphicData>
            </a:graphic>
          </wp:inline>
        </w:drawing>
      </w:r>
    </w:p>
    <w:p w:rsidR="00062325" w:rsidRDefault="00062325" w:rsidP="00062325">
      <w:pPr>
        <w:spacing w:line="360" w:lineRule="auto"/>
        <w:rPr>
          <w:i/>
        </w:rPr>
      </w:pPr>
      <w:r w:rsidRPr="00062325">
        <w:rPr>
          <w:b/>
        </w:rPr>
        <w:t>Figure 3:</w:t>
      </w:r>
      <w:r>
        <w:t xml:space="preserve"> Statistics for the log-transformed variable </w:t>
      </w:r>
      <w:r>
        <w:rPr>
          <w:i/>
        </w:rPr>
        <w:t>GDP (</w:t>
      </w:r>
      <w:hyperlink r:id="rId10" w:history="1">
        <w:r w:rsidRPr="00E33B69">
          <w:rPr>
            <w:rStyle w:val="Hyperlink"/>
            <w:i/>
          </w:rPr>
          <w:t>log@2010.399</w:t>
        </w:r>
      </w:hyperlink>
      <w:r>
        <w:rPr>
          <w:i/>
        </w:rPr>
        <w:t>)</w:t>
      </w:r>
    </w:p>
    <w:p w:rsidR="00062325" w:rsidRPr="00062325" w:rsidRDefault="00062325" w:rsidP="00062325">
      <w:pPr>
        <w:spacing w:line="360" w:lineRule="auto"/>
        <w:jc w:val="center"/>
      </w:pPr>
      <w:r>
        <w:rPr>
          <w:noProof/>
        </w:rPr>
        <w:drawing>
          <wp:inline distT="0" distB="0" distL="0" distR="0" wp14:anchorId="2E7C9E2F">
            <wp:extent cx="4355586" cy="38252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830" cy="3873757"/>
                    </a:xfrm>
                    <a:prstGeom prst="rect">
                      <a:avLst/>
                    </a:prstGeom>
                    <a:noFill/>
                  </pic:spPr>
                </pic:pic>
              </a:graphicData>
            </a:graphic>
          </wp:inline>
        </w:drawing>
      </w:r>
    </w:p>
    <w:p w:rsidR="00062325" w:rsidRDefault="00062325" w:rsidP="00062325">
      <w:pPr>
        <w:spacing w:line="360" w:lineRule="auto"/>
        <w:rPr>
          <w:i/>
        </w:rPr>
      </w:pPr>
      <w:r w:rsidRPr="00062325">
        <w:rPr>
          <w:b/>
        </w:rPr>
        <w:t>Figure 4:</w:t>
      </w:r>
      <w:r>
        <w:t xml:space="preserve"> Histogram for </w:t>
      </w:r>
      <w:r w:rsidR="00CC27B1">
        <w:t>the log-transformed GDP variable (</w:t>
      </w:r>
      <w:hyperlink r:id="rId12" w:history="1">
        <w:r w:rsidR="00CC27B1" w:rsidRPr="00E33B69">
          <w:rPr>
            <w:rStyle w:val="Hyperlink"/>
            <w:i/>
          </w:rPr>
          <w:t>log@2010.399</w:t>
        </w:r>
      </w:hyperlink>
      <w:r w:rsidR="00CC27B1">
        <w:rPr>
          <w:i/>
        </w:rPr>
        <w:t>)</w:t>
      </w:r>
    </w:p>
    <w:p w:rsidR="00BE2341" w:rsidRDefault="00BE2341" w:rsidP="00062325">
      <w:pPr>
        <w:spacing w:line="360" w:lineRule="auto"/>
        <w:rPr>
          <w:u w:val="single"/>
        </w:rPr>
      </w:pPr>
      <w:r>
        <w:rPr>
          <w:u w:val="single"/>
        </w:rPr>
        <w:lastRenderedPageBreak/>
        <w:t>P</w:t>
      </w:r>
      <w:r w:rsidR="00815E93">
        <w:rPr>
          <w:u w:val="single"/>
        </w:rPr>
        <w:t>rimary</w:t>
      </w:r>
    </w:p>
    <w:p w:rsidR="002D560D" w:rsidRDefault="002D560D" w:rsidP="00C75710">
      <w:pPr>
        <w:spacing w:line="360" w:lineRule="auto"/>
      </w:pPr>
      <w:r w:rsidRPr="002D560D">
        <w:tab/>
      </w:r>
      <w:r>
        <w:t xml:space="preserve">Referring back to Figure 1, the variable </w:t>
      </w:r>
      <w:r>
        <w:rPr>
          <w:i/>
        </w:rPr>
        <w:t>p</w:t>
      </w:r>
      <w:r w:rsidR="00815E93">
        <w:rPr>
          <w:i/>
        </w:rPr>
        <w:t>rimary</w:t>
      </w:r>
      <w:r>
        <w:rPr>
          <w:i/>
        </w:rPr>
        <w:t xml:space="preserve"> </w:t>
      </w:r>
      <w:r>
        <w:t xml:space="preserve">reported a mean of approximately </w:t>
      </w:r>
      <w:r w:rsidR="00C53FC9">
        <w:t>88.20</w:t>
      </w:r>
      <w:r>
        <w:t xml:space="preserve">% female primary education students, with the median </w:t>
      </w:r>
      <w:r w:rsidR="00C53FC9">
        <w:t>of 92.41</w:t>
      </w:r>
      <w:r>
        <w:t xml:space="preserve">% and the mode </w:t>
      </w:r>
      <w:r w:rsidR="00815E93">
        <w:t xml:space="preserve">substantially lower </w:t>
      </w:r>
      <w:r>
        <w:t>(</w:t>
      </w:r>
      <w:r w:rsidR="00C53FC9">
        <w:t>31.03</w:t>
      </w:r>
      <w:r>
        <w:t>%)</w:t>
      </w:r>
      <w:r w:rsidR="00815E93">
        <w:t xml:space="preserve">. </w:t>
      </w:r>
      <w:r w:rsidR="00014B99">
        <w:t xml:space="preserve">The reported standard deviation (approximately </w:t>
      </w:r>
      <w:r w:rsidR="00815E93">
        <w:t>1</w:t>
      </w:r>
      <w:r w:rsidR="00C53FC9">
        <w:t>2</w:t>
      </w:r>
      <w:r w:rsidR="00815E93">
        <w:t>.</w:t>
      </w:r>
      <w:r w:rsidR="00C53FC9">
        <w:t>48</w:t>
      </w:r>
      <w:r w:rsidR="00014B99">
        <w:t>%) indicated t</w:t>
      </w:r>
      <w:r w:rsidR="00815E93">
        <w:t>hat the reported percentages in the dataset varied moderately from the mean</w:t>
      </w:r>
      <w:r w:rsidR="00014B99">
        <w:t>.</w:t>
      </w:r>
      <w:r w:rsidR="00C75710">
        <w:t xml:space="preserve"> Spain reported the maximum value (99.80%); </w:t>
      </w:r>
      <w:r w:rsidR="00515A1B">
        <w:t xml:space="preserve">Eritrea reported the lowest female net primary enrollment rate (31.03%). </w:t>
      </w:r>
      <w:r w:rsidR="00815E93">
        <w:t>T</w:t>
      </w:r>
      <w:r>
        <w:t xml:space="preserve">he histogram for </w:t>
      </w:r>
      <w:r w:rsidR="00815E93">
        <w:rPr>
          <w:i/>
        </w:rPr>
        <w:t>primary</w:t>
      </w:r>
      <w:r>
        <w:rPr>
          <w:i/>
        </w:rPr>
        <w:t xml:space="preserve"> </w:t>
      </w:r>
      <w:r>
        <w:t>(Figure 5)</w:t>
      </w:r>
      <w:r>
        <w:rPr>
          <w:i/>
        </w:rPr>
        <w:t xml:space="preserve">, </w:t>
      </w:r>
      <w:r>
        <w:t>along with the reported skewness and kurtosis values, determined that the variable was</w:t>
      </w:r>
      <w:r w:rsidR="00F7468B">
        <w:t xml:space="preserve"> substantially</w:t>
      </w:r>
      <w:r>
        <w:t xml:space="preserve"> negatively skewed</w:t>
      </w:r>
      <w:r w:rsidR="00C53FC9">
        <w:t>, with a skewness of -2.050</w:t>
      </w:r>
      <w:r>
        <w:t>.</w:t>
      </w:r>
      <w:r w:rsidR="00F7468B">
        <w:t xml:space="preserve"> For this reason, a logarithmic transformation was performed on the variable</w:t>
      </w:r>
      <w:r w:rsidR="00C53FC9">
        <w:t xml:space="preserve"> using a constant (k) equal to 100.7948</w:t>
      </w:r>
      <w:r w:rsidR="00F7468B">
        <w:t>; the resulting skewness reported to be -</w:t>
      </w:r>
      <w:r w:rsidR="00C53FC9">
        <w:t>.104</w:t>
      </w:r>
      <w:r w:rsidR="00F7468B">
        <w:t xml:space="preserve"> (Figure 6) and the distribution appeared more normal (Figure 7).</w:t>
      </w:r>
    </w:p>
    <w:p w:rsidR="002D560D" w:rsidRDefault="00C53FC9" w:rsidP="00C53FC9">
      <w:pPr>
        <w:spacing w:line="360" w:lineRule="auto"/>
        <w:jc w:val="center"/>
      </w:pPr>
      <w:r>
        <w:rPr>
          <w:noProof/>
        </w:rPr>
        <w:drawing>
          <wp:inline distT="0" distB="0" distL="0" distR="0" wp14:anchorId="09DD7114">
            <wp:extent cx="4679315" cy="370395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315" cy="3703955"/>
                    </a:xfrm>
                    <a:prstGeom prst="rect">
                      <a:avLst/>
                    </a:prstGeom>
                    <a:noFill/>
                  </pic:spPr>
                </pic:pic>
              </a:graphicData>
            </a:graphic>
          </wp:inline>
        </w:drawing>
      </w:r>
    </w:p>
    <w:p w:rsidR="002D560D" w:rsidRDefault="002D560D" w:rsidP="00062325">
      <w:pPr>
        <w:spacing w:line="360" w:lineRule="auto"/>
      </w:pPr>
      <w:r w:rsidRPr="002D560D">
        <w:rPr>
          <w:b/>
        </w:rPr>
        <w:t>Figure 5:</w:t>
      </w:r>
      <w:r>
        <w:t xml:space="preserve"> Histogram for </w:t>
      </w:r>
      <w:r w:rsidR="00815E93">
        <w:rPr>
          <w:i/>
        </w:rPr>
        <w:t>primary (@2010.110</w:t>
      </w:r>
      <w:r w:rsidR="00C53FC9">
        <w:rPr>
          <w:i/>
        </w:rPr>
        <w:t>4</w:t>
      </w:r>
      <w:r w:rsidR="00815E93">
        <w:rPr>
          <w:i/>
        </w:rPr>
        <w:t>)</w:t>
      </w:r>
    </w:p>
    <w:p w:rsidR="00F7468B" w:rsidRDefault="00C53FC9" w:rsidP="00F7468B">
      <w:pPr>
        <w:spacing w:line="360" w:lineRule="auto"/>
        <w:jc w:val="center"/>
      </w:pPr>
      <w:r>
        <w:rPr>
          <w:noProof/>
        </w:rPr>
        <w:lastRenderedPageBreak/>
        <w:drawing>
          <wp:inline distT="0" distB="0" distL="0" distR="0" wp14:anchorId="3844C9BB">
            <wp:extent cx="1813560" cy="3413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3560" cy="3413760"/>
                    </a:xfrm>
                    <a:prstGeom prst="rect">
                      <a:avLst/>
                    </a:prstGeom>
                    <a:noFill/>
                  </pic:spPr>
                </pic:pic>
              </a:graphicData>
            </a:graphic>
          </wp:inline>
        </w:drawing>
      </w:r>
    </w:p>
    <w:p w:rsidR="00F7468B" w:rsidRPr="00CC27B1" w:rsidRDefault="00F7468B" w:rsidP="00F7468B">
      <w:pPr>
        <w:spacing w:line="360" w:lineRule="auto"/>
      </w:pPr>
      <w:r w:rsidRPr="00F7468B">
        <w:rPr>
          <w:b/>
        </w:rPr>
        <w:t xml:space="preserve">Figure 6: </w:t>
      </w:r>
      <w:r w:rsidR="00CC27B1">
        <w:t xml:space="preserve">Statistics for the log-transformed </w:t>
      </w:r>
      <w:r w:rsidR="00CC27B1">
        <w:rPr>
          <w:i/>
        </w:rPr>
        <w:t xml:space="preserve">primary </w:t>
      </w:r>
      <w:r w:rsidR="00CC27B1">
        <w:t>variable (</w:t>
      </w:r>
      <w:r w:rsidR="00CC27B1" w:rsidRPr="00CC27B1">
        <w:rPr>
          <w:i/>
        </w:rPr>
        <w:t>log@2010.1104</w:t>
      </w:r>
      <w:r w:rsidR="00CC27B1">
        <w:t>)</w:t>
      </w:r>
    </w:p>
    <w:p w:rsidR="00637F27" w:rsidRPr="002D560D" w:rsidRDefault="00C53FC9" w:rsidP="00C53FC9">
      <w:pPr>
        <w:spacing w:line="360" w:lineRule="auto"/>
        <w:jc w:val="center"/>
      </w:pPr>
      <w:r>
        <w:rPr>
          <w:noProof/>
        </w:rPr>
        <w:drawing>
          <wp:inline distT="0" distB="0" distL="0" distR="0" wp14:anchorId="67EEC0D5">
            <wp:extent cx="4080493" cy="3512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565" cy="3536987"/>
                    </a:xfrm>
                    <a:prstGeom prst="rect">
                      <a:avLst/>
                    </a:prstGeom>
                    <a:noFill/>
                  </pic:spPr>
                </pic:pic>
              </a:graphicData>
            </a:graphic>
          </wp:inline>
        </w:drawing>
      </w:r>
    </w:p>
    <w:p w:rsidR="00BE2341" w:rsidRDefault="00BE2341" w:rsidP="00062325">
      <w:pPr>
        <w:spacing w:line="360" w:lineRule="auto"/>
      </w:pPr>
      <w:r>
        <w:tab/>
      </w:r>
    </w:p>
    <w:p w:rsidR="009F48C0" w:rsidRDefault="00F7468B" w:rsidP="00062325">
      <w:pPr>
        <w:spacing w:line="360" w:lineRule="auto"/>
      </w:pPr>
      <w:r>
        <w:rPr>
          <w:b/>
        </w:rPr>
        <w:t xml:space="preserve">Figure 7: </w:t>
      </w:r>
      <w:r w:rsidR="00CC27B1">
        <w:t xml:space="preserve">Histogram of the log-transformed </w:t>
      </w:r>
      <w:r w:rsidR="00CC27B1">
        <w:rPr>
          <w:i/>
        </w:rPr>
        <w:t>primary</w:t>
      </w:r>
      <w:r w:rsidR="00CC27B1">
        <w:t xml:space="preserve"> variable (</w:t>
      </w:r>
      <w:r w:rsidR="009F48C0" w:rsidRPr="009F48C0">
        <w:rPr>
          <w:i/>
        </w:rPr>
        <w:t>log@2010.1104</w:t>
      </w:r>
      <w:r w:rsidR="00CC27B1">
        <w:t>)</w:t>
      </w:r>
    </w:p>
    <w:p w:rsidR="00182199" w:rsidRPr="009F48C0" w:rsidRDefault="00182199" w:rsidP="00062325">
      <w:pPr>
        <w:spacing w:line="360" w:lineRule="auto"/>
      </w:pPr>
      <w:r>
        <w:rPr>
          <w:u w:val="single"/>
        </w:rPr>
        <w:lastRenderedPageBreak/>
        <w:t>Fertility</w:t>
      </w:r>
    </w:p>
    <w:p w:rsidR="00182199" w:rsidRDefault="00182199" w:rsidP="00062325">
      <w:pPr>
        <w:spacing w:line="360" w:lineRule="auto"/>
      </w:pPr>
      <w:r w:rsidRPr="00182199">
        <w:tab/>
      </w:r>
      <w:r>
        <w:t xml:space="preserve">Looking once more at Figure 1, the </w:t>
      </w:r>
      <w:r>
        <w:rPr>
          <w:i/>
        </w:rPr>
        <w:t xml:space="preserve">fertility </w:t>
      </w:r>
      <w:r>
        <w:t>variable reported a mean of approximately 2.80 children per women, with a median of 2.29 children and a reported modal value of 1.38, though multiple modes exist. Because the mean is slightly greater than the median and the reported mode, the distribution is positively skewed</w:t>
      </w:r>
      <w:r w:rsidR="00C75710">
        <w:t>; t</w:t>
      </w:r>
      <w:r w:rsidR="005C589C">
        <w:t>he skewness value of 1.034 con</w:t>
      </w:r>
      <w:r w:rsidR="00C75710">
        <w:t>curred</w:t>
      </w:r>
      <w:r w:rsidR="005C589C">
        <w:t xml:space="preserve">. Though the standard deviation is relatively small, indicating that most data points in the variable do not vary wildly from the mean, there is a large range of 5.97 reported, with the minimum births per woman of 1.09 (Macao SAR, China), and the maximum reported at 7.06 (Niger). </w:t>
      </w:r>
    </w:p>
    <w:p w:rsidR="005C589C" w:rsidRDefault="005C589C" w:rsidP="00062325">
      <w:pPr>
        <w:spacing w:line="360" w:lineRule="auto"/>
      </w:pPr>
      <w:r>
        <w:tab/>
        <w:t>Because the skewness value in Figure 1 and initial histogram (Figure 8) de</w:t>
      </w:r>
      <w:r w:rsidR="00E7365C">
        <w:t xml:space="preserve">termined positive skewness, </w:t>
      </w:r>
      <w:r>
        <w:t xml:space="preserve">the </w:t>
      </w:r>
      <w:r>
        <w:rPr>
          <w:i/>
        </w:rPr>
        <w:t xml:space="preserve">fertility </w:t>
      </w:r>
      <w:r>
        <w:t>variable underwent a logarithmic transformation like the other two variables. The resulting statistics (Figure 9) and histogram (Figure 10) indicate that the variable is more normally distributed post-transformation.</w:t>
      </w:r>
    </w:p>
    <w:p w:rsidR="005C589C" w:rsidRDefault="005C589C" w:rsidP="005C589C">
      <w:pPr>
        <w:spacing w:line="360" w:lineRule="auto"/>
        <w:jc w:val="center"/>
      </w:pPr>
      <w:r>
        <w:rPr>
          <w:noProof/>
        </w:rPr>
        <w:drawing>
          <wp:inline distT="0" distB="0" distL="0" distR="0" wp14:anchorId="3A6E00EC">
            <wp:extent cx="4641215" cy="309372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1215" cy="3093720"/>
                    </a:xfrm>
                    <a:prstGeom prst="rect">
                      <a:avLst/>
                    </a:prstGeom>
                    <a:noFill/>
                  </pic:spPr>
                </pic:pic>
              </a:graphicData>
            </a:graphic>
          </wp:inline>
        </w:drawing>
      </w:r>
    </w:p>
    <w:p w:rsidR="005C589C" w:rsidRPr="00CC27B1" w:rsidRDefault="005C589C" w:rsidP="005C589C">
      <w:pPr>
        <w:spacing w:line="360" w:lineRule="auto"/>
      </w:pPr>
      <w:r w:rsidRPr="005C589C">
        <w:rPr>
          <w:b/>
        </w:rPr>
        <w:t>Figure 8</w:t>
      </w:r>
      <w:r w:rsidR="00CC27B1">
        <w:rPr>
          <w:b/>
        </w:rPr>
        <w:t xml:space="preserve">: </w:t>
      </w:r>
      <w:r w:rsidR="00CC27B1">
        <w:t xml:space="preserve">Histogram of the pre-transformed </w:t>
      </w:r>
      <w:r w:rsidR="00CC27B1">
        <w:rPr>
          <w:i/>
        </w:rPr>
        <w:t>fertility</w:t>
      </w:r>
      <w:r w:rsidR="00CC27B1">
        <w:t xml:space="preserve"> variable</w:t>
      </w:r>
    </w:p>
    <w:p w:rsidR="005C589C" w:rsidRDefault="005C589C" w:rsidP="005C589C">
      <w:pPr>
        <w:spacing w:line="360" w:lineRule="auto"/>
        <w:jc w:val="center"/>
      </w:pPr>
      <w:r>
        <w:rPr>
          <w:noProof/>
        </w:rPr>
        <w:lastRenderedPageBreak/>
        <w:drawing>
          <wp:inline distT="0" distB="0" distL="0" distR="0" wp14:anchorId="6FD6E4C4">
            <wp:extent cx="1783080" cy="33756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3080" cy="3375660"/>
                    </a:xfrm>
                    <a:prstGeom prst="rect">
                      <a:avLst/>
                    </a:prstGeom>
                    <a:noFill/>
                  </pic:spPr>
                </pic:pic>
              </a:graphicData>
            </a:graphic>
          </wp:inline>
        </w:drawing>
      </w:r>
    </w:p>
    <w:p w:rsidR="005C589C" w:rsidRPr="00515A1B" w:rsidRDefault="005C589C" w:rsidP="005C589C">
      <w:pPr>
        <w:spacing w:line="360" w:lineRule="auto"/>
      </w:pPr>
      <w:r>
        <w:rPr>
          <w:b/>
        </w:rPr>
        <w:t>Figure 9</w:t>
      </w:r>
      <w:r w:rsidR="00515A1B">
        <w:rPr>
          <w:b/>
        </w:rPr>
        <w:t xml:space="preserve">: </w:t>
      </w:r>
      <w:r w:rsidR="00515A1B">
        <w:t xml:space="preserve">Statistics for the log-transformed </w:t>
      </w:r>
      <w:r w:rsidR="00515A1B">
        <w:rPr>
          <w:i/>
        </w:rPr>
        <w:t>fertility</w:t>
      </w:r>
      <w:r w:rsidR="00515A1B">
        <w:t xml:space="preserve"> variable (</w:t>
      </w:r>
      <w:r w:rsidR="00515A1B">
        <w:rPr>
          <w:i/>
        </w:rPr>
        <w:t>log@2010.358)</w:t>
      </w:r>
      <w:r w:rsidR="00515A1B">
        <w:t xml:space="preserve"> </w:t>
      </w:r>
    </w:p>
    <w:p w:rsidR="005C589C" w:rsidRDefault="005C589C" w:rsidP="005C589C">
      <w:pPr>
        <w:spacing w:line="360" w:lineRule="auto"/>
        <w:jc w:val="center"/>
        <w:rPr>
          <w:b/>
        </w:rPr>
      </w:pPr>
      <w:r>
        <w:rPr>
          <w:b/>
          <w:noProof/>
        </w:rPr>
        <w:drawing>
          <wp:inline distT="0" distB="0" distL="0" distR="0" wp14:anchorId="3C7C31CE">
            <wp:extent cx="4176395" cy="3703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6395" cy="3703955"/>
                    </a:xfrm>
                    <a:prstGeom prst="rect">
                      <a:avLst/>
                    </a:prstGeom>
                    <a:noFill/>
                  </pic:spPr>
                </pic:pic>
              </a:graphicData>
            </a:graphic>
          </wp:inline>
        </w:drawing>
      </w:r>
    </w:p>
    <w:p w:rsidR="005C589C" w:rsidRPr="00CC27B1" w:rsidRDefault="005C589C" w:rsidP="005C589C">
      <w:pPr>
        <w:spacing w:line="360" w:lineRule="auto"/>
        <w:rPr>
          <w:i/>
        </w:rPr>
      </w:pPr>
      <w:r>
        <w:rPr>
          <w:b/>
        </w:rPr>
        <w:t>Figure 10</w:t>
      </w:r>
      <w:r w:rsidR="00CC27B1">
        <w:rPr>
          <w:b/>
        </w:rPr>
        <w:t xml:space="preserve">: </w:t>
      </w:r>
      <w:r w:rsidR="00CC27B1">
        <w:t xml:space="preserve">Histogram of the log-transformed </w:t>
      </w:r>
      <w:r w:rsidR="00CC27B1">
        <w:rPr>
          <w:i/>
        </w:rPr>
        <w:t>fertility</w:t>
      </w:r>
      <w:r w:rsidR="00CC27B1">
        <w:t xml:space="preserve"> variable (</w:t>
      </w:r>
      <w:r w:rsidR="00CC27B1">
        <w:rPr>
          <w:i/>
        </w:rPr>
        <w:t>log@2010.358)</w:t>
      </w:r>
    </w:p>
    <w:p w:rsidR="00A07EE6" w:rsidRDefault="00A07EE6" w:rsidP="005C589C">
      <w:pPr>
        <w:spacing w:line="360" w:lineRule="auto"/>
        <w:rPr>
          <w:b/>
        </w:rPr>
      </w:pPr>
      <w:r w:rsidRPr="00A07EE6">
        <w:rPr>
          <w:b/>
        </w:rPr>
        <w:lastRenderedPageBreak/>
        <w:t>Correlation</w:t>
      </w:r>
    </w:p>
    <w:p w:rsidR="005C589C" w:rsidRDefault="005C589C" w:rsidP="005C589C">
      <w:pPr>
        <w:spacing w:line="360" w:lineRule="auto"/>
      </w:pPr>
      <w:r>
        <w:rPr>
          <w:b/>
        </w:rPr>
        <w:tab/>
      </w:r>
      <w:r>
        <w:t xml:space="preserve">Using the steps Analyze -&gt; Correlate -&gt; Bivariate, the new variables </w:t>
      </w:r>
      <w:r w:rsidRPr="006E55BF">
        <w:rPr>
          <w:i/>
        </w:rPr>
        <w:t>log@2010.399</w:t>
      </w:r>
      <w:r>
        <w:rPr>
          <w:i/>
        </w:rPr>
        <w:t xml:space="preserve"> (logGDP),</w:t>
      </w:r>
      <w:r w:rsidR="006E55BF">
        <w:rPr>
          <w:i/>
        </w:rPr>
        <w:t xml:space="preserve"> log@2010.1104 </w:t>
      </w:r>
      <w:r w:rsidR="00A6262D">
        <w:rPr>
          <w:i/>
        </w:rPr>
        <w:t>(logp</w:t>
      </w:r>
      <w:r w:rsidR="006E55BF">
        <w:rPr>
          <w:i/>
        </w:rPr>
        <w:t>rimary</w:t>
      </w:r>
      <w:r w:rsidR="00A6262D">
        <w:rPr>
          <w:i/>
        </w:rPr>
        <w:t xml:space="preserve">), and </w:t>
      </w:r>
      <w:r w:rsidR="00A6262D" w:rsidRPr="006E55BF">
        <w:rPr>
          <w:i/>
        </w:rPr>
        <w:t>log@2010.358</w:t>
      </w:r>
      <w:r w:rsidR="00A6262D">
        <w:rPr>
          <w:i/>
        </w:rPr>
        <w:t xml:space="preserve"> (logfertility) </w:t>
      </w:r>
      <w:r w:rsidR="00A6262D">
        <w:t xml:space="preserve">were examined using Pearson’s correlation. The results are shown in Figure 11. </w:t>
      </w:r>
    </w:p>
    <w:p w:rsidR="00A6262D" w:rsidRDefault="006E55BF" w:rsidP="00A6262D">
      <w:pPr>
        <w:spacing w:line="360" w:lineRule="auto"/>
        <w:jc w:val="center"/>
      </w:pPr>
      <w:r>
        <w:rPr>
          <w:noProof/>
        </w:rPr>
        <w:drawing>
          <wp:inline distT="0" distB="0" distL="0" distR="0" wp14:anchorId="06FF6071">
            <wp:extent cx="4168775" cy="22098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8775" cy="2209800"/>
                    </a:xfrm>
                    <a:prstGeom prst="rect">
                      <a:avLst/>
                    </a:prstGeom>
                    <a:noFill/>
                  </pic:spPr>
                </pic:pic>
              </a:graphicData>
            </a:graphic>
          </wp:inline>
        </w:drawing>
      </w:r>
    </w:p>
    <w:p w:rsidR="00A6262D" w:rsidRDefault="00A6262D" w:rsidP="005C589C">
      <w:pPr>
        <w:spacing w:line="360" w:lineRule="auto"/>
      </w:pPr>
      <w:r w:rsidRPr="00CC27B1">
        <w:rPr>
          <w:b/>
        </w:rPr>
        <w:t>Figure 11:</w:t>
      </w:r>
      <w:r>
        <w:t xml:space="preserve"> Correlation results</w:t>
      </w:r>
    </w:p>
    <w:p w:rsidR="00A07EE6" w:rsidRPr="00A07EE6" w:rsidRDefault="00A6262D" w:rsidP="007E4353">
      <w:pPr>
        <w:spacing w:line="360" w:lineRule="auto"/>
        <w:jc w:val="both"/>
      </w:pPr>
      <w:r>
        <w:t xml:space="preserve">   </w:t>
      </w:r>
      <w:r w:rsidR="009F48C0">
        <w:tab/>
        <w:t xml:space="preserve">The results of bivariate correlation indicate that there are significant correlations between the variables. </w:t>
      </w:r>
      <w:r w:rsidR="009F48C0">
        <w:rPr>
          <w:i/>
        </w:rPr>
        <w:t>LogGDP</w:t>
      </w:r>
      <w:r w:rsidR="009F48C0">
        <w:t xml:space="preserve"> has a statistically significant moderate negative correlation with both </w:t>
      </w:r>
      <w:r w:rsidR="009F48C0">
        <w:rPr>
          <w:i/>
        </w:rPr>
        <w:t xml:space="preserve">logprimary                 </w:t>
      </w:r>
      <w:r w:rsidR="009F48C0">
        <w:t>(</w:t>
      </w:r>
      <w:r w:rsidR="00090284">
        <w:t>r(</w:t>
      </w:r>
      <w:r w:rsidR="008A65B0">
        <w:t>102</w:t>
      </w:r>
      <w:r w:rsidR="00090284">
        <w:t xml:space="preserve">) = </w:t>
      </w:r>
      <w:r w:rsidR="009F48C0">
        <w:t xml:space="preserve">-.540, p &lt;.001) and </w:t>
      </w:r>
      <w:r w:rsidR="009F48C0">
        <w:rPr>
          <w:i/>
        </w:rPr>
        <w:t xml:space="preserve">logfertility </w:t>
      </w:r>
      <w:r w:rsidR="009F48C0">
        <w:t>(</w:t>
      </w:r>
      <w:r w:rsidR="00090284">
        <w:t>r(</w:t>
      </w:r>
      <w:r w:rsidR="008A65B0">
        <w:t>179</w:t>
      </w:r>
      <w:r w:rsidR="00090284">
        <w:t xml:space="preserve">) = </w:t>
      </w:r>
      <w:r w:rsidR="009F48C0">
        <w:t>-.461, p &lt;.001)</w:t>
      </w:r>
      <w:r w:rsidR="009F48C0">
        <w:rPr>
          <w:i/>
        </w:rPr>
        <w:t xml:space="preserve">. </w:t>
      </w:r>
      <w:r w:rsidR="009F48C0">
        <w:t xml:space="preserve">This finding suggests that as the GDP of a nation increases, both the number of female children enrolled in primary school and the number of children born per woman tend to decrease. </w:t>
      </w:r>
      <w:r w:rsidR="009F48C0">
        <w:rPr>
          <w:i/>
        </w:rPr>
        <w:t>Log</w:t>
      </w:r>
      <w:r w:rsidR="00C92216">
        <w:rPr>
          <w:i/>
        </w:rPr>
        <w:t>fertility</w:t>
      </w:r>
      <w:r w:rsidR="007E4353">
        <w:rPr>
          <w:i/>
        </w:rPr>
        <w:t xml:space="preserve"> </w:t>
      </w:r>
      <w:r w:rsidR="007E4353">
        <w:t xml:space="preserve">and </w:t>
      </w:r>
      <w:r w:rsidR="007E4353">
        <w:rPr>
          <w:i/>
        </w:rPr>
        <w:t>log</w:t>
      </w:r>
      <w:r w:rsidR="00C92216">
        <w:rPr>
          <w:i/>
        </w:rPr>
        <w:t>primary</w:t>
      </w:r>
      <w:r w:rsidR="007E4353">
        <w:rPr>
          <w:i/>
        </w:rPr>
        <w:t xml:space="preserve"> </w:t>
      </w:r>
      <w:r w:rsidR="007E4353">
        <w:t>also report a moderate to strong positive correlation (</w:t>
      </w:r>
      <w:r w:rsidR="00090284">
        <w:t>r (</w:t>
      </w:r>
      <w:r w:rsidR="008A65B0">
        <w:t>102</w:t>
      </w:r>
      <w:r w:rsidR="00090284">
        <w:t>) =</w:t>
      </w:r>
      <w:r w:rsidR="007E4353">
        <w:t xml:space="preserve">.602, p &lt; .001), indicating that as a woman’s total fertility rate increases, the number of female school-age children enrolled in primary school increases as well. </w:t>
      </w:r>
      <w:r w:rsidR="00A07EE6">
        <w:tab/>
      </w:r>
    </w:p>
    <w:p w:rsidR="00A07EE6" w:rsidRDefault="00A07EE6">
      <w:pPr>
        <w:rPr>
          <w:b/>
        </w:rPr>
      </w:pPr>
      <w:r w:rsidRPr="00A07EE6">
        <w:rPr>
          <w:b/>
        </w:rPr>
        <w:t>Discussion</w:t>
      </w:r>
    </w:p>
    <w:p w:rsidR="00292A78" w:rsidRDefault="00292A78" w:rsidP="003F10D9">
      <w:pPr>
        <w:spacing w:line="360" w:lineRule="auto"/>
      </w:pPr>
      <w:r>
        <w:rPr>
          <w:b/>
        </w:rPr>
        <w:tab/>
      </w:r>
      <w:r>
        <w:t>As discussed, fertility and reproduction are related</w:t>
      </w:r>
      <w:r w:rsidR="000118C7">
        <w:t>; one examines how many children, on average, that a woman bears during her reproductive years, the other measures how many females are born to replace her.</w:t>
      </w:r>
      <w:r>
        <w:t xml:space="preserve"> Therefore, it seems logical that the </w:t>
      </w:r>
      <w:r w:rsidRPr="00292A78">
        <w:rPr>
          <w:i/>
        </w:rPr>
        <w:t xml:space="preserve">fertility </w:t>
      </w:r>
      <w:r>
        <w:t xml:space="preserve">variable reported a positive correlation with </w:t>
      </w:r>
      <w:r w:rsidR="001E5D50">
        <w:t xml:space="preserve">the net percentage of females who are enrolled in primary school in each country. Countries with higher fertility rates will be more likely to bear </w:t>
      </w:r>
      <w:r w:rsidR="000118C7">
        <w:t>more female children, leading to continued reproduction.</w:t>
      </w:r>
    </w:p>
    <w:p w:rsidR="001E5D50" w:rsidRDefault="001E5D50" w:rsidP="003F10D9">
      <w:pPr>
        <w:spacing w:line="360" w:lineRule="auto"/>
      </w:pPr>
      <w:r>
        <w:tab/>
        <w:t xml:space="preserve">The relationship between GDP, fertility, and reproduction is more complex. </w:t>
      </w:r>
      <w:r w:rsidR="009A1406">
        <w:t>P</w:t>
      </w:r>
      <w:r>
        <w:t xml:space="preserve">oorer nations tend to </w:t>
      </w:r>
      <w:r w:rsidR="009A1406">
        <w:t>report higher</w:t>
      </w:r>
      <w:r w:rsidR="000118C7">
        <w:t xml:space="preserve"> total fertility rates</w:t>
      </w:r>
      <w:r w:rsidR="009A1406">
        <w:t xml:space="preserve"> and, subsequently, increased reproduction rates</w:t>
      </w:r>
      <w:r w:rsidR="000118C7">
        <w:t xml:space="preserve">. The question is whether the countries are poorer because people are having too many children, or if people have more </w:t>
      </w:r>
      <w:r w:rsidR="000118C7">
        <w:lastRenderedPageBreak/>
        <w:t xml:space="preserve">children because their countries are poor. It seems that both are reasonable. </w:t>
      </w:r>
      <w:r w:rsidR="00513FBE">
        <w:t>Countries may be poor because they have too many children</w:t>
      </w:r>
      <w:r w:rsidR="009A1406">
        <w:t xml:space="preserve"> that use up most of the available resources.</w:t>
      </w:r>
      <w:r w:rsidR="00513FBE">
        <w:t xml:space="preserve"> </w:t>
      </w:r>
      <w:r w:rsidR="009A1406">
        <w:t>There might be little to no extra income for people to save or invest. The economy may suffer as parents struggle to make ends meet. Mothers may not be able to work because childcare is unavailable or unaffordable. They may also be un- or undereducated and not able to seek education due to a lack of finances, transportation, and/or time. On the other hand, poor countries may have inadequate resources, such as contraception, family planning services, or other health services; both of these could contribute to an increase in births as well as infant mortality.</w:t>
      </w:r>
    </w:p>
    <w:p w:rsidR="00A07EE6" w:rsidRPr="00A07EE6" w:rsidRDefault="009A1406" w:rsidP="00603981">
      <w:pPr>
        <w:spacing w:line="360" w:lineRule="auto"/>
      </w:pPr>
      <w:r>
        <w:tab/>
        <w:t xml:space="preserve">The demographic transition model suggests that </w:t>
      </w:r>
      <w:r w:rsidR="00906EE4">
        <w:t xml:space="preserve">increased GDP plays a role in increased life expectancy, </w:t>
      </w:r>
      <w:r w:rsidR="00603981">
        <w:t xml:space="preserve">greater </w:t>
      </w:r>
      <w:r w:rsidR="00906EE4">
        <w:t xml:space="preserve">access to contraception, </w:t>
      </w:r>
      <w:r w:rsidR="00603981">
        <w:t xml:space="preserve">increased </w:t>
      </w:r>
      <w:r w:rsidR="00906EE4">
        <w:t>female literacy</w:t>
      </w:r>
      <w:r w:rsidR="00603981">
        <w:t>, independence, and</w:t>
      </w:r>
      <w:r w:rsidR="00906EE4">
        <w:t xml:space="preserve"> employment, </w:t>
      </w:r>
      <w:r w:rsidR="00603981">
        <w:t xml:space="preserve">increased </w:t>
      </w:r>
      <w:r w:rsidR="00906EE4">
        <w:t xml:space="preserve">urbanization, and reductions in infant and child mortality (Demographic transition, n.d.). </w:t>
      </w:r>
      <w:r w:rsidR="00603981">
        <w:t>E</w:t>
      </w:r>
      <w:r w:rsidR="00906EE4">
        <w:t xml:space="preserve">nhanced economic, technological, and education conditions set the stage for these improvements. Interestingly, the theory contains only four stages, but additional stages have been proposed due to </w:t>
      </w:r>
      <w:r w:rsidR="00603981">
        <w:t>current trends, such as sub-replacement fertility in many countries</w:t>
      </w:r>
      <w:r w:rsidR="00906EE4">
        <w:t xml:space="preserve">. Though children tend to be expensive, wealthier couples are having fewer children, and several countries report higher death rates than birth rates. </w:t>
      </w:r>
      <w:r w:rsidR="00603981">
        <w:t xml:space="preserve">In what will eventually become “Stage Five,” both more-fertile and less-fertile futures have been proposed. Though a few models propose that modernization exerts evolutionary and cultural pressures for fertility, </w:t>
      </w:r>
      <w:r w:rsidR="00906EE4">
        <w:t xml:space="preserve">most models suggest that </w:t>
      </w:r>
      <w:r w:rsidR="00603981">
        <w:t>“</w:t>
      </w:r>
      <w:r w:rsidR="00906EE4">
        <w:t>birth rate will stabilize at a low level indefinitely”</w:t>
      </w:r>
      <w:r w:rsidR="00603981">
        <w:t xml:space="preserve"> (Demographic transition, n.d.).</w:t>
      </w:r>
      <w:bookmarkStart w:id="0" w:name="_GoBack"/>
      <w:bookmarkEnd w:id="0"/>
    </w:p>
    <w:p w:rsidR="00A07EE6" w:rsidRDefault="00F53227">
      <w:pPr>
        <w:rPr>
          <w:b/>
        </w:rPr>
      </w:pPr>
      <w:r w:rsidRPr="00D62766">
        <w:rPr>
          <w:b/>
        </w:rPr>
        <w:t>References</w:t>
      </w:r>
    </w:p>
    <w:p w:rsidR="00603981" w:rsidRPr="00603981" w:rsidRDefault="00603981">
      <w:r w:rsidRPr="00603981">
        <w:t>Demographic transition</w:t>
      </w:r>
      <w:r>
        <w:t xml:space="preserve">. (n.d.). in </w:t>
      </w:r>
      <w:r>
        <w:rPr>
          <w:i/>
        </w:rPr>
        <w:t xml:space="preserve">Wikipedia. </w:t>
      </w:r>
      <w:r>
        <w:t>Retrieved from</w:t>
      </w:r>
      <w:r>
        <w:tab/>
      </w:r>
      <w:r w:rsidRPr="00603981">
        <w:t>https://en.wikipedia.org/wiki/Demographic_transition</w:t>
      </w:r>
    </w:p>
    <w:p w:rsidR="00772C90" w:rsidRPr="00772C90" w:rsidRDefault="00772C90">
      <w:r>
        <w:t xml:space="preserve">Fertility. (n.d.). in </w:t>
      </w:r>
      <w:r>
        <w:rPr>
          <w:i/>
        </w:rPr>
        <w:t xml:space="preserve">Cambridge Dictionary. </w:t>
      </w:r>
      <w:r>
        <w:t>Retrieved from</w:t>
      </w:r>
      <w:r w:rsidR="00603981">
        <w:tab/>
      </w:r>
      <w:r w:rsidR="00603981" w:rsidRPr="00603981">
        <w:t>https://dictionary.cambridge.org/us/dictionary/english/fertility</w:t>
      </w:r>
    </w:p>
    <w:p w:rsidR="00F53227" w:rsidRPr="00772C90" w:rsidRDefault="002A67BC">
      <w:r>
        <w:t xml:space="preserve">Gross reproduction rate. (n.d.). in </w:t>
      </w:r>
      <w:r>
        <w:rPr>
          <w:i/>
        </w:rPr>
        <w:t xml:space="preserve">Wikipedia. </w:t>
      </w:r>
      <w:r>
        <w:t>Retrieved from</w:t>
      </w:r>
      <w:r w:rsidR="00772C90">
        <w:tab/>
      </w:r>
      <w:r w:rsidR="00772C90" w:rsidRPr="00772C90">
        <w:t>https://en.wikipedia.org/wiki/Gross_reproduction_rate</w:t>
      </w:r>
    </w:p>
    <w:p w:rsidR="002A67BC" w:rsidRDefault="00772C90">
      <w:r>
        <w:t xml:space="preserve">Huebler, F. (2005, April 23). Primary school gross and net enrollment. </w:t>
      </w:r>
      <w:r>
        <w:rPr>
          <w:i/>
        </w:rPr>
        <w:t>International Education Statistics</w:t>
      </w:r>
      <w:r>
        <w:rPr>
          <w:i/>
        </w:rPr>
        <w:tab/>
      </w:r>
      <w:r>
        <w:t>[Blog post]</w:t>
      </w:r>
      <w:r>
        <w:rPr>
          <w:i/>
        </w:rPr>
        <w:t xml:space="preserve">. </w:t>
      </w:r>
      <w:r>
        <w:t xml:space="preserve">Retrieved </w:t>
      </w:r>
      <w:r w:rsidRPr="00772C90">
        <w:t>from https://huebler.blogspot.com/2005/04/primary-school-gross-and</w:t>
      </w:r>
      <w:r>
        <w:t>-</w:t>
      </w:r>
      <w:r>
        <w:tab/>
      </w:r>
      <w:r w:rsidRPr="00772C90">
        <w:t>net.html</w:t>
      </w:r>
      <w:r>
        <w:t xml:space="preserve">  </w:t>
      </w:r>
    </w:p>
    <w:p w:rsidR="00772C90" w:rsidRDefault="00772C90" w:rsidP="008D2F9A">
      <w:r>
        <w:t xml:space="preserve">Lodder, </w:t>
      </w:r>
      <w:r w:rsidR="008D2F9A">
        <w:t xml:space="preserve">P. </w:t>
      </w:r>
      <w:r>
        <w:t xml:space="preserve">(2013). </w:t>
      </w:r>
      <w:r w:rsidR="008D2F9A">
        <w:t>To impute or not impute: That’s the question. Retrieved from</w:t>
      </w:r>
      <w:r w:rsidR="008D2F9A">
        <w:tab/>
      </w:r>
      <w:r w:rsidR="008D2F9A" w:rsidRPr="008D2F9A">
        <w:t>https://www.paultwin.com/wp-content/uploads/Lodder_1140873_Paper_Imputation.pdf</w:t>
      </w:r>
    </w:p>
    <w:p w:rsidR="00772C90" w:rsidRDefault="00772C90">
      <w:r>
        <w:t xml:space="preserve">Total fertility rate, (n.d.). in </w:t>
      </w:r>
      <w:r>
        <w:rPr>
          <w:i/>
        </w:rPr>
        <w:t xml:space="preserve">Wikipedia. </w:t>
      </w:r>
      <w:r>
        <w:t xml:space="preserve">Retrieved from </w:t>
      </w:r>
    </w:p>
    <w:p w:rsidR="00772C90" w:rsidRPr="00772C90" w:rsidRDefault="00772C90">
      <w:r>
        <w:lastRenderedPageBreak/>
        <w:t xml:space="preserve">Weinstein, J. &amp; Pillai, V.K. (2016). </w:t>
      </w:r>
      <w:r>
        <w:rPr>
          <w:i/>
        </w:rPr>
        <w:t xml:space="preserve">Demography: The science of population </w:t>
      </w:r>
      <w:r>
        <w:t>(2</w:t>
      </w:r>
      <w:r w:rsidRPr="00772C90">
        <w:rPr>
          <w:vertAlign w:val="superscript"/>
        </w:rPr>
        <w:t>nd</w:t>
      </w:r>
      <w:r>
        <w:t xml:space="preserve"> ed). Lanham, MD:</w:t>
      </w:r>
      <w:r>
        <w:tab/>
        <w:t xml:space="preserve">Rowman &amp; Littlefield. </w:t>
      </w:r>
    </w:p>
    <w:sectPr w:rsidR="00772C90" w:rsidRPr="00772C9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EF8" w:rsidRDefault="009E7EF8" w:rsidP="00646CDA">
      <w:pPr>
        <w:spacing w:after="0" w:line="240" w:lineRule="auto"/>
      </w:pPr>
      <w:r>
        <w:separator/>
      </w:r>
    </w:p>
  </w:endnote>
  <w:endnote w:type="continuationSeparator" w:id="0">
    <w:p w:rsidR="009E7EF8" w:rsidRDefault="009E7EF8" w:rsidP="0064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EF8" w:rsidRDefault="009E7EF8" w:rsidP="00646CDA">
      <w:pPr>
        <w:spacing w:after="0" w:line="240" w:lineRule="auto"/>
      </w:pPr>
      <w:r>
        <w:separator/>
      </w:r>
    </w:p>
  </w:footnote>
  <w:footnote w:type="continuationSeparator" w:id="0">
    <w:p w:rsidR="009E7EF8" w:rsidRDefault="009E7EF8" w:rsidP="00646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8C0" w:rsidRDefault="009F48C0">
    <w:pPr>
      <w:pStyle w:val="Header"/>
    </w:pPr>
    <w:r>
      <w:t xml:space="preserve">Sheppard – Demography – </w:t>
    </w:r>
    <w:r w:rsidR="007E4C4E">
      <w:t>Module</w:t>
    </w:r>
    <w:r>
      <w:t xml:space="preserve"> </w:t>
    </w:r>
    <w:r w:rsidR="007E4C4E">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2E"/>
    <w:rsid w:val="000118C7"/>
    <w:rsid w:val="00014B99"/>
    <w:rsid w:val="00062325"/>
    <w:rsid w:val="00090284"/>
    <w:rsid w:val="00182199"/>
    <w:rsid w:val="001E5D50"/>
    <w:rsid w:val="001F449B"/>
    <w:rsid w:val="00223822"/>
    <w:rsid w:val="002656BA"/>
    <w:rsid w:val="00292A78"/>
    <w:rsid w:val="002A67BC"/>
    <w:rsid w:val="002D560D"/>
    <w:rsid w:val="003F10D9"/>
    <w:rsid w:val="00496FAB"/>
    <w:rsid w:val="00513FBE"/>
    <w:rsid w:val="00515A1B"/>
    <w:rsid w:val="00567BE8"/>
    <w:rsid w:val="005824EB"/>
    <w:rsid w:val="00586294"/>
    <w:rsid w:val="005C589C"/>
    <w:rsid w:val="00603981"/>
    <w:rsid w:val="00605A6A"/>
    <w:rsid w:val="00625DE8"/>
    <w:rsid w:val="00637F27"/>
    <w:rsid w:val="00646CDA"/>
    <w:rsid w:val="00675786"/>
    <w:rsid w:val="006817A5"/>
    <w:rsid w:val="006926D3"/>
    <w:rsid w:val="006A302D"/>
    <w:rsid w:val="006E55BF"/>
    <w:rsid w:val="006F14A6"/>
    <w:rsid w:val="0070542C"/>
    <w:rsid w:val="00772C90"/>
    <w:rsid w:val="0078402E"/>
    <w:rsid w:val="007A4908"/>
    <w:rsid w:val="007E4353"/>
    <w:rsid w:val="007E4C4E"/>
    <w:rsid w:val="00815E93"/>
    <w:rsid w:val="00837794"/>
    <w:rsid w:val="0087472E"/>
    <w:rsid w:val="008A65B0"/>
    <w:rsid w:val="008D1396"/>
    <w:rsid w:val="008D2F9A"/>
    <w:rsid w:val="008D584C"/>
    <w:rsid w:val="00906EE4"/>
    <w:rsid w:val="009A1406"/>
    <w:rsid w:val="009B0843"/>
    <w:rsid w:val="009E7EF8"/>
    <w:rsid w:val="009F48C0"/>
    <w:rsid w:val="00A07EE6"/>
    <w:rsid w:val="00A6262D"/>
    <w:rsid w:val="00A72FB8"/>
    <w:rsid w:val="00AF60F4"/>
    <w:rsid w:val="00B33AC8"/>
    <w:rsid w:val="00BE2341"/>
    <w:rsid w:val="00C53FC9"/>
    <w:rsid w:val="00C75710"/>
    <w:rsid w:val="00C92216"/>
    <w:rsid w:val="00CC27B1"/>
    <w:rsid w:val="00CE06AB"/>
    <w:rsid w:val="00D5523D"/>
    <w:rsid w:val="00D62766"/>
    <w:rsid w:val="00D643CD"/>
    <w:rsid w:val="00D77FEF"/>
    <w:rsid w:val="00E146F8"/>
    <w:rsid w:val="00E668F2"/>
    <w:rsid w:val="00E7365C"/>
    <w:rsid w:val="00E82439"/>
    <w:rsid w:val="00F53227"/>
    <w:rsid w:val="00F7468B"/>
    <w:rsid w:val="00FC7B81"/>
    <w:rsid w:val="00FD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73C"/>
  <w15:chartTrackingRefBased/>
  <w15:docId w15:val="{32B8D548-9B65-4FBF-8289-AFAA543F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CDA"/>
  </w:style>
  <w:style w:type="paragraph" w:styleId="Footer">
    <w:name w:val="footer"/>
    <w:basedOn w:val="Normal"/>
    <w:link w:val="FooterChar"/>
    <w:uiPriority w:val="99"/>
    <w:unhideWhenUsed/>
    <w:rsid w:val="00646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CDA"/>
  </w:style>
  <w:style w:type="paragraph" w:styleId="BalloonText">
    <w:name w:val="Balloon Text"/>
    <w:basedOn w:val="Normal"/>
    <w:link w:val="BalloonTextChar"/>
    <w:uiPriority w:val="99"/>
    <w:semiHidden/>
    <w:unhideWhenUsed/>
    <w:rsid w:val="00E14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6F8"/>
    <w:rPr>
      <w:rFonts w:ascii="Segoe UI" w:hAnsi="Segoe UI" w:cs="Segoe UI"/>
      <w:sz w:val="18"/>
      <w:szCs w:val="18"/>
    </w:rPr>
  </w:style>
  <w:style w:type="character" w:styleId="Hyperlink">
    <w:name w:val="Hyperlink"/>
    <w:basedOn w:val="DefaultParagraphFont"/>
    <w:uiPriority w:val="99"/>
    <w:unhideWhenUsed/>
    <w:rsid w:val="00062325"/>
    <w:rPr>
      <w:color w:val="0563C1" w:themeColor="hyperlink"/>
      <w:u w:val="single"/>
    </w:rPr>
  </w:style>
  <w:style w:type="character" w:styleId="UnresolvedMention">
    <w:name w:val="Unresolved Mention"/>
    <w:basedOn w:val="DefaultParagraphFont"/>
    <w:uiPriority w:val="99"/>
    <w:semiHidden/>
    <w:unhideWhenUsed/>
    <w:rsid w:val="00062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log@2010.399"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mailto:log@2010.399"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3FF09-9BA9-4CD0-A7E2-602D02F9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5584</TotalTime>
  <Pages>11</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lisheppa</dc:creator>
  <cp:keywords/>
  <dc:description/>
  <cp:lastModifiedBy>lisheppa</cp:lastModifiedBy>
  <cp:revision>35</cp:revision>
  <dcterms:created xsi:type="dcterms:W3CDTF">2019-09-24T21:56:00Z</dcterms:created>
  <dcterms:modified xsi:type="dcterms:W3CDTF">2019-09-29T13:28:00Z</dcterms:modified>
</cp:coreProperties>
</file>