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2. Results of Cox Proportional Hazards Regression Models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61"/>
        <w:gridCol w:w="1634"/>
        <w:gridCol w:w="1181"/>
        <w:gridCol w:w="961"/>
        <w:gridCol w:w="1634"/>
        <w:gridCol w:w="1181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0.422, 0.836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0.376, 0.753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1.001, 1.040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wt.loss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0.989, 1.013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0.978, 1.004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ph.ecog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1.441, 3.050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ph.karno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2025-07-16T19:14:41Z</dcterms:modified>
  <cp:category/>
</cp:coreProperties>
</file>