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A1+ Trademark Application Draft</w:t>
      </w:r>
    </w:p>
    <w:p>
      <w:r>
        <w:t>Trademark Name: AsyncTest</w:t>
      </w:r>
    </w:p>
    <w:p>
      <w:r>
        <w:t>Applicant: TestCorp</w:t>
      </w:r>
    </w:p>
    <w:p>
      <w:r>
        <w:t>Applicant Type: company</w:t>
      </w:r>
    </w:p>
    <w:p>
      <w:r>
        <w:t>Suggested Classes: 42</w:t>
      </w:r>
    </w:p>
    <w:p>
      <w:r>
        <w:t>Risk Level: green</w:t>
      </w:r>
    </w:p>
    <w:p>
      <w:r>
        <w:t>TestCorp申请注册第42类商标“AsyncTest”，涉及test业务，风险评估等级为green。</w:t>
      </w:r>
    </w:p>
    <w:p>
      <w:r>
        <w:t>Compliance Notice: A1+ only prepares documents and submission guidance. Users submit to official systems on their own.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