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Noto Sans CJK SC" w:hAnsi="Noto Sans CJK SC" w:eastAsia="Noto Sans CJK SC"/>
          <w:b/>
          <w:color w:val="2F6BFF"/>
          <w:sz w:val="19"/>
        </w:rPr>
        <w:t>ZHILENS / CONSTRAINTS</w:t>
      </w:r>
    </w:p>
    <w:p>
      <w:pPr>
        <w:pStyle w:val="Title"/>
      </w:pPr>
      <w:r>
        <w:rPr>
          <w:rFonts w:ascii="Noto Sans CJK SC" w:hAnsi="Noto Sans CJK SC" w:eastAsia="Noto Sans CJK SC"/>
          <w:b/>
          <w:color w:val="0B1220"/>
          <w:sz w:val="58"/>
        </w:rPr>
        <w:t>知鉴 Constraints &amp; Guardrails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/>
          <w:color w:val="5E6B7A"/>
          <w:sz w:val="26"/>
        </w:rPr>
        <w:t>产品、数据、AI、交互与赛事约束 · v0.1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9EF"/>
          <w:left w:val="single" w:sz="4" w:space="0" w:color="E4E9EF"/>
          <w:bottom w:val="single" w:sz="4" w:space="0" w:color="E4E9EF"/>
          <w:right w:val="single" w:sz="4" w:space="0" w:color="E4E9EF"/>
          <w:insideH w:val="single" w:sz="4" w:space="0" w:color="E4E9EF"/>
          <w:insideV w:val="single" w:sz="4" w:space="0" w:color="E4E9EF"/>
        </w:tblBorders>
      </w:tblPr>
      <w:tblGrid>
        <w:gridCol w:w="5128"/>
        <w:gridCol w:w="5128"/>
      </w:tblGrid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状态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HARD GUARDRAILS · MVP 强制执行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适用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产品 / UI / Prompt / 数据处理 / 后端 / Demo / 文案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原则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Fail closed &gt; Guess; Evidence &gt; Fluency; Diversity &gt; Artificial consensus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5E6B7A"/>
                <w:sz w:val="18"/>
              </w:rPr>
              <w:t>日期</w:t>
            </w:r>
          </w:p>
        </w:tc>
        <w:tc>
          <w:tcPr>
            <w:tcW w:type="dxa" w:w="7030"/>
            <w:tcMar>
              <w:top w:w="110" w:type="dxa"/>
              <w:start w:w="160" w:type="dxa"/>
              <w:bottom w:w="110" w:type="dxa"/>
              <w:end w:w="16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0B1220"/>
                <w:sz w:val="18"/>
              </w:rPr>
              <w:t>2026-08-17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DECEC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约束的作用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这份文档不是“建议”。它定义知鉴在 48h 内绝对不能跨过的边界；当 PRD、设计或 Prompt 与本文件冲突时，先按本文件执行，再发起变更。</w:t>
            </w:r>
          </w:p>
        </w:tc>
      </w:tr>
    </w:tbl>
    <w:p>
      <w:pPr>
        <w:spacing w:after="20"/>
      </w:pPr>
    </w:p>
    <w:p>
      <w:pPr>
        <w:pStyle w:val="Heading1"/>
      </w:pPr>
      <w:r>
        <w:t>1. 产品硬约束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C-ID</w:t>
            </w:r>
          </w:p>
        </w:tc>
        <w:tc>
          <w:tcPr>
            <w:tcW w:type="dxa" w:w="430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391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违规例子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P-01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不得输出最终人生/职业决策。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“综合来看你应该读研。”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P-02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不得把三席 Reading Set 变成统一分数 Top 3。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“匹配度 93% / 89% / 84%。”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P-03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不得取代知乎默认公共排序。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进入 Lens 后永久覆盖原列表。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P-04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不得只展示与用户倾向一致的内容。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工程岗用户只看到工作派。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P-05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不得把职业场景写成产品本体。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品牌变成“AI 职业规划师”。</w:t>
            </w:r>
          </w:p>
        </w:tc>
      </w:tr>
      <w:tr>
        <w:trPr>
          <w:cantSplit/>
        </w:trPr>
        <w:tc>
          <w:tcPr>
            <w:tcW w:type="dxa" w:w="8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P-06</w:t>
            </w:r>
          </w:p>
        </w:tc>
        <w:tc>
          <w:tcPr>
            <w:tcW w:type="dxa" w:w="430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不得新增 Chat 作为主交互。</w:t>
            </w:r>
          </w:p>
        </w:tc>
        <w:tc>
          <w:tcPr>
            <w:tcW w:type="dxa" w:w="39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首页大输入框 + AI 对话。</w:t>
            </w:r>
          </w:p>
        </w:tc>
      </w:tr>
    </w:tbl>
    <w:p>
      <w:pPr>
        <w:spacing w:after="20"/>
      </w:pPr>
    </w:p>
    <w:p>
      <w:pPr>
        <w:pStyle w:val="Heading1"/>
      </w:pPr>
      <w:r>
        <w:t>2. Evidence / Provenance 约束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每个结构化事实必须携带 source_id + evidence_span；没有 Span 的事实不能进入用户可见层。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“不知道”必须作为一等状态存在；禁止把 Unknown 转成概率化猜测。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Decision、Pre-decision Context、Post-decision Outcome、Reflection 必须分开，禁止 Outcome Leakage。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Renderer 禁止重新阅读全文并引入新事实；只能消费已审核的结构化 Packet。</w:t>
      </w:r>
    </w:p>
    <w:p>
      <w:pPr>
        <w:pStyle w:val="ListNumber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用户点击“为什么这么说？”必须能回到与该判断直接对应的原文片段。</w:t>
      </w:r>
    </w:p>
    <w:p>
      <w:pPr>
        <w:pStyle w:val="Heading1"/>
      </w:pPr>
      <w:r>
        <w:t>3. 禁止推断与敏感画像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19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允许结构化（需原文明确）</w:t>
            </w:r>
          </w:p>
        </w:tc>
        <w:tc>
          <w:tcPr>
            <w:tcW w:type="dxa" w:w="4422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禁止自行推断</w:t>
            </w:r>
          </w:p>
        </w:tc>
      </w:tr>
      <w:tr>
        <w:trPr>
          <w:cantSplit/>
        </w:trPr>
        <w:tc>
          <w:tcPr>
            <w:tcW w:type="dxa" w:w="419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学历阶段、岗位方向、已有机会、明确目标、明确选择、明确原因、时间、地域、明确经济/时间约束、结果、反思</w:t>
            </w:r>
          </w:p>
        </w:tc>
        <w:tc>
          <w:tcPr>
            <w:tcW w:type="dxa" w:w="442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家庭阶层、未公开收入、人格、智力、心理状态、政治倾向、风险人格、隐含动机、健康状况、敏感身份推断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2" w:space="0" w:color="FFF4E5"/>
          <w:left w:val="single" w:sz="2" w:space="0" w:color="FFF4E5"/>
          <w:bottom w:val="single" w:sz="2" w:space="0" w:color="FFF4E5"/>
          <w:right w:val="single" w:sz="2" w:space="0" w:color="FFF4E5"/>
          <w:insideH w:val="single" w:sz="2" w:space="0" w:color="FFF4E5"/>
          <w:insideV w:val="single" w:sz="2" w:space="0" w:color="FFF4E5"/>
        </w:tblBorders>
      </w:tblPr>
      <w:tblGrid>
        <w:gridCol w:w="8674"/>
      </w:tblGrid>
      <w:tr>
        <w:trPr>
          <w:cantSplit/>
        </w:trPr>
        <w:tc>
          <w:tcPr>
            <w:tcW w:type="dxa" w:w="10256"/>
            <w:shd w:fill="FFF4E5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b/>
                <w:color w:val="A15C00"/>
                <w:sz w:val="20"/>
              </w:rPr>
              <w:t>主语约束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0B1220"/>
                <w:sz w:val="19"/>
              </w:rPr>
              <w:t>产品可以说“这篇经历明确公开了哪些条件”，不能说“我们理解这个人是什么样的人”。</w:t>
            </w:r>
          </w:p>
        </w:tc>
      </w:tr>
    </w:tbl>
    <w:p>
      <w:pPr>
        <w:spacing w:after="20"/>
      </w:pPr>
    </w:p>
    <w:p>
      <w:pPr>
        <w:pStyle w:val="Heading1"/>
      </w:pPr>
      <w:r>
        <w:t>4. 统计与因果约束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知乎内容是 self-selected narratives，不是代表性民调。禁止把当前样本比例包装成“人群概率”。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Contrast Dimension 表示当前语料里的可观察关联，不表示因果；文案使用“伴随出现”“可能是分界”，不用“导致”“决定”。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Information Gain / Coverage / Pairwise Support 仅用于内部阈值、Debug、评测，不展示给用户。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相似经历不等于建议正确；产品只表达 Same / Different / Unknown，不表达成功率。</w:t>
      </w:r>
    </w:p>
    <w:p>
      <w:pPr>
        <w:pStyle w:val="Heading1"/>
      </w:pPr>
      <w:r>
        <w:t>5. Contrast Discovery 约束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资格线</w:t>
            </w:r>
          </w:p>
        </w:tc>
        <w:tc>
          <w:tcPr>
            <w:tcW w:type="dxa" w:w="6350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Corpus-grounded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维度必须来自当前语料明确字段，不能凭模型常识添加“人生重要因素”。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Variation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候选值至少有 2 个；所有样本相同的字段不能解释分歧。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Decision contrast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不同值与不同 Decision / Recommendation 在当前样本中有可观察分叉。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Pre-decision only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只有决策时已存在的条件能成为主 Contrast Dimension。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User answerable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用户能用 1 次点击或短文本回答，才允许进入 Lens Panel。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Counterexample test</w:t>
            </w:r>
          </w:p>
        </w:tc>
        <w:tc>
          <w:tcPr>
            <w:tcW w:type="dxa" w:w="635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系统必须主动寻找违反简单模式的反例；反例不是噪声。</w:t>
            </w:r>
          </w:p>
        </w:tc>
      </w:tr>
    </w:tbl>
    <w:p>
      <w:pPr>
        <w:spacing w:after="20"/>
      </w:pPr>
    </w:p>
    <w:p>
      <w:pPr>
        <w:pStyle w:val="Heading1"/>
      </w:pPr>
      <w:r>
        <w:t>6. UI 与文案约束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413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4479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“大家真正分歧在哪？”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“影响你人生的 3 大关键因素”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“这可能是两段经验产生不同选择的重要分界。”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“这就是他们选择不同的原因。”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“原文没有说明这一条件。”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“根据语气推测作者可能……”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“相似处境，另一种选择”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“反方 / 错误观点”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“先看这几篇”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“最适合你的 Top 3”</w:t>
            </w:r>
          </w:p>
        </w:tc>
      </w:tr>
      <w:tr>
        <w:trPr>
          <w:cantSplit/>
        </w:trPr>
        <w:tc>
          <w:tcPr>
            <w:tcW w:type="dxa" w:w="413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“为什么这么说？”</w:t>
            </w:r>
          </w:p>
        </w:tc>
        <w:tc>
          <w:tcPr>
            <w:tcW w:type="dxa" w:w="44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“模型置信度 87%”</w:t>
            </w:r>
          </w:p>
        </w:tc>
      </w:tr>
    </w:tbl>
    <w:p>
      <w:pPr>
        <w:spacing w:after="20"/>
      </w:pPr>
    </w:p>
    <w:p>
      <w:pPr>
        <w:pStyle w:val="Heading1"/>
      </w:pPr>
      <w:r>
        <w:t>7. 数据、API 与赛事约束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只使用赛事官方 Skill / 开放平台或其他合法取得的内容；禁止批量爬取与滥用站内用户数据。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知乎搜索 / 全网搜索额度有限，必须做应用层缓存；核心链路不能押在 100 次/天的直答 Agent 上。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如果搜索仅返回短摘要且无官方完整读取能力，必须触发 P0 Gate 失败：Pivot 或使用官方允许的降级入口。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Fixture 仅用于本地开发/测试；必须标记数据来源，不能在正式演示中把静态 Fixture 伪装成实时 API。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Golden Demo 允许使用官方数据 snapshot/cache 保障稳定，但演示中应如实说明“已缓存以保证比赛稳定性”。</w:t>
      </w:r>
    </w:p>
    <w:p>
      <w:pPr>
        <w:pStyle w:val="Heading1"/>
      </w:pPr>
      <w:r>
        <w:t>8. 48h 明确禁止做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禁止项</w:t>
            </w:r>
          </w:p>
        </w:tc>
        <w:tc>
          <w:tcPr>
            <w:tcW w:type="dxa" w:w="5783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Chat / 万能问答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立即退化成通用 AI Wrapper。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长期记忆 / 用户画像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偏离当前 Question 的局部阅读任务。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人格标签 / MBTI / 风险性格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数据不足且容易造成不当推断。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大知识图谱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增加认知负担，弱化 30 秒 Demo。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Agent 人格 / Agent Debate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官方鼓励但非本项目核心闭环。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自动私信 / 关注 / 社交闭环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不是知识阅读价值的必要条件。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复杂向量数据库 / 图数据库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20-30 条候选内容不需要；先保证链路稳定。</w:t>
            </w:r>
          </w:p>
        </w:tc>
      </w:tr>
      <w:tr>
        <w:trPr>
          <w:cantSplit/>
        </w:trPr>
        <w:tc>
          <w:tcPr>
            <w:tcW w:type="dxa" w:w="283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选择胜率 / 适用度百分比</w:t>
            </w:r>
          </w:p>
        </w:tc>
        <w:tc>
          <w:tcPr>
            <w:tcW w:type="dxa" w:w="5783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7"/>
              </w:rPr>
              <w:t>伪精确并混淆“可比较”与“正确”。</w:t>
            </w:r>
          </w:p>
        </w:tc>
      </w:tr>
    </w:tbl>
    <w:p>
      <w:pPr>
        <w:spacing w:after="20"/>
      </w:pPr>
    </w:p>
    <w:p>
      <w:pPr>
        <w:pStyle w:val="Heading1"/>
      </w:pPr>
      <w:r>
        <w:t>9. Fail-closed 状态表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9E0E7"/>
          <w:left w:val="single" w:sz="5" w:space="0" w:color="D9E0E7"/>
          <w:bottom w:val="single" w:sz="5" w:space="0" w:color="D9E0E7"/>
          <w:right w:val="single" w:sz="5" w:space="0" w:color="D9E0E7"/>
          <w:insideH w:val="single" w:sz="5" w:space="0" w:color="D9E0E7"/>
          <w:insideV w:val="single" w:sz="5" w:space="0" w:color="D9E0E7"/>
        </w:tblBorders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38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31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必须做</w:t>
            </w:r>
          </w:p>
        </w:tc>
        <w:tc>
          <w:tcPr>
            <w:tcW w:type="dxa" w:w="3005"/>
            <w:shd w:fill="0B1220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禁止做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INSUFFICIENT_TEXT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说明数据不足，停止条件抽取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根据摘要补全作者经历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NO_RELIABLE_DIMENSION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回到默认排序或只展示公共高质量内容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强行生成 3 个条件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NO_COMPARABLE_EXPERIENCE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展示缺口 + 经典视角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拿低证据观点伪装亲历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NO_COUNTER_EXPERIENCE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B 席空置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制造“反方”凑完整布局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USER_CONDITION_UNCOVERED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说明当前语料很少讨论该条件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让 LLM 用常识扩写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RATE_LIMITED</w:t>
            </w:r>
          </w:p>
        </w:tc>
        <w:tc>
          <w:tcPr>
            <w:tcW w:type="dxa" w:w="32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读缓存 / 稳定降级</w:t>
            </w:r>
          </w:p>
        </w:tc>
        <w:tc>
          <w:tcPr>
            <w:tcW w:type="dxa" w:w="3005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0B1220"/>
                <w:sz w:val="16"/>
              </w:rPr>
              <w:t>无限重试、并发打爆 API</w:t>
            </w:r>
          </w:p>
        </w:tc>
      </w:tr>
    </w:tbl>
    <w:p>
      <w:pPr>
        <w:spacing w:after="20"/>
      </w:pPr>
    </w:p>
    <w:p>
      <w:pPr>
        <w:pStyle w:val="Heading1"/>
      </w:pPr>
      <w:r>
        <w:t>10. 文档冲突优先级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1E6EB"/>
          <w:left w:val="single" w:sz="4" w:space="0" w:color="E1E6EB"/>
          <w:bottom w:val="single" w:sz="4" w:space="0" w:color="E1E6EB"/>
          <w:right w:val="single" w:sz="4" w:space="0" w:color="E1E6EB"/>
          <w:insideH w:val="single" w:sz="4" w:space="0" w:color="E1E6EB"/>
          <w:insideV w:val="single" w:sz="4" w:space="0" w:color="E1E6EB"/>
        </w:tblBorders>
      </w:tblPr>
      <w:tblGrid>
        <w:gridCol w:w="10256"/>
      </w:tblGrid>
      <w:tr>
        <w:trPr>
          <w:cantSplit/>
        </w:trPr>
        <w:tc>
          <w:tcPr>
            <w:tcW w:type="dxa" w:w="10256"/>
            <w:shd w:fill="F6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>Product Anchor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&gt; Constraints &amp; Guardrails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&gt; PRD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&gt; AI &amp; Data Contract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&gt; 48h Build Playbook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5364A"/>
                <w:sz w:val="17"/>
              </w:rPr>
              <w:t xml:space="preserve">  &gt; 具体实现 / Prompt / UI 细节</w:t>
            </w:r>
          </w:p>
        </w:tc>
      </w:tr>
    </w:tbl>
    <w:p>
      <w:pPr>
        <w:spacing w:after="20"/>
      </w:pP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上层文档决定“我们是什么/绝不能做什么”；下层文档决定“怎么实现”。</w:t>
      </w:r>
    </w:p>
    <w:p>
      <w:pPr>
        <w:pStyle w:val="ListBullet"/>
        <w:spacing w:before="0" w:after="80" w:line="288" w:lineRule="auto"/>
      </w:pPr>
      <w:r>
        <w:rPr>
          <w:rFonts w:ascii="Noto Sans CJK SC" w:hAnsi="Noto Sans CJK SC" w:eastAsia="Noto Sans CJK SC"/>
          <w:sz w:val="19"/>
        </w:rPr>
        <w:t>若实现发现上层假设不成立（例如 P0 数据 Gate 失败），必须先更新上层决策，不允许在代码里偷偷绕过约束。</w:t>
      </w:r>
    </w:p>
    <w:sectPr w:rsidR="00FC693F" w:rsidRPr="0006063C" w:rsidSect="00034616">
      <w:footerReference w:type="default" r:id="rId9"/>
      <w:pgSz w:w="12240" w:h="15840"/>
      <w:pgMar w:top="935" w:right="992" w:bottom="879" w:left="992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E6B7A"/>
        <w:sz w:val="16"/>
      </w:rPr>
      <w:t>知鉴 / 02-CONSTRAINTS</w:t>
    </w:r>
    <w:r>
      <w:t xml:space="preserve">      </w:t>
    </w:r>
    <w:r>
      <w:rPr>
        <w:rFonts w:ascii="Noto Sans CJK SC" w:hAnsi="Noto Sans CJK SC" w:eastAsia="Noto Sans CJK SC"/>
        <w:color w:val="5E6B7A"/>
        <w:sz w:val="16"/>
      </w:rPr>
      <w:t>v0.1 · Build-ready</w:t>
    </w:r>
  </w:p>
  <w:p>
    <w:pPr>
      <w:jc w:val="right"/>
    </w:pPr>
    <w:r>
      <w:rPr>
        <w:rFonts w:ascii="Noto Sans CJK SC" w:hAnsi="Noto Sans CJK SC" w:eastAsia="Noto Sans CJK SC"/>
        <w:color w:val="5E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0B12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F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2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2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76" w:lineRule="auto"/>
      <w:ind w:left="198" w:right="198"/>
    </w:pPr>
    <w:rPr>
      <w:rFonts w:ascii="Noto Sans Mono CJK SC" w:hAnsi="Noto Sans Mono CJK SC" w:eastAsia="Noto Sans Mono CJK SC"/>
      <w:color w:val="2636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