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454E" w:rsidP="4B638427" w:rsidRDefault="0089454E" w14:paraId="25D13431" w14:textId="0CE82417">
      <w:pPr>
        <w:pStyle w:val="Normal"/>
        <w:ind w:firstLine="720"/>
        <w:rPr>
          <w:rFonts w:ascii="Aptos" w:hAnsi="Aptos" w:eastAsia="Aptos" w:cs="Aptos" w:asciiTheme="minorAscii" w:hAnsiTheme="minorAscii" w:eastAsiaTheme="minorAscii" w:cstheme="minorAscii"/>
          <w:i w:val="1"/>
          <w:iCs w:val="1"/>
        </w:rPr>
      </w:pPr>
      <w:r w:rsidRPr="4B638427" w:rsidR="46836B93">
        <w:rPr>
          <w:i w:val="1"/>
          <w:iCs w:val="1"/>
        </w:rPr>
        <w:t xml:space="preserve">Annual Bluegrass Weevil Larvae Trial at </w:t>
      </w:r>
      <w:r w:rsidRPr="4B638427" w:rsidR="46836B93">
        <w:rPr>
          <w:i w:val="1"/>
          <w:iCs w:val="1"/>
        </w:rPr>
        <w:t>Heatherwoode</w:t>
      </w:r>
    </w:p>
    <w:p w:rsidR="0089454E" w:rsidP="4B638427" w:rsidRDefault="0089454E" w14:paraId="64E3722D" w14:textId="79EE2ACC">
      <w:pPr>
        <w:pStyle w:val="Normal"/>
        <w:ind w:firstLine="720"/>
        <w:rPr>
          <w:i w:val="1"/>
          <w:iCs w:val="1"/>
        </w:rPr>
      </w:pPr>
      <w:r w:rsidRPr="4B638427" w:rsidR="46836B93">
        <w:rPr>
          <w:i w:val="1"/>
          <w:iCs w:val="1"/>
        </w:rPr>
        <w:t>Ent6707 Group Project</w:t>
      </w:r>
      <w:r w:rsidRPr="4B638427" w:rsidR="14C7AB3D">
        <w:rPr>
          <w:i w:val="1"/>
          <w:iCs w:val="1"/>
        </w:rPr>
        <w:t xml:space="preserve"> – Preliminary Anyalysis </w:t>
      </w:r>
    </w:p>
    <w:p w:rsidR="0089454E" w:rsidP="4B638427" w:rsidRDefault="0089454E" w14:paraId="7DDA5375" w14:textId="75A2AB03">
      <w:pPr>
        <w:pStyle w:val="Normal"/>
        <w:ind w:firstLine="720"/>
        <w:rPr>
          <w:i w:val="1"/>
          <w:iCs w:val="1"/>
        </w:rPr>
      </w:pPr>
      <w:r w:rsidRPr="4B638427" w:rsidR="46836B93">
        <w:rPr>
          <w:i w:val="1"/>
          <w:iCs w:val="1"/>
        </w:rPr>
        <w:t xml:space="preserve">Henry Rice, Liz </w:t>
      </w:r>
      <w:r w:rsidRPr="4B638427" w:rsidR="469A5128">
        <w:rPr>
          <w:i w:val="1"/>
          <w:iCs w:val="1"/>
        </w:rPr>
        <w:t xml:space="preserve">Foley, Paola Feliciano </w:t>
      </w:r>
      <w:r w:rsidRPr="4B638427" w:rsidR="469A5128">
        <w:rPr>
          <w:i w:val="1"/>
          <w:iCs w:val="1"/>
        </w:rPr>
        <w:t>Camacho ,</w:t>
      </w:r>
      <w:r w:rsidRPr="4B638427" w:rsidR="469A5128">
        <w:rPr>
          <w:i w:val="1"/>
          <w:iCs w:val="1"/>
        </w:rPr>
        <w:t xml:space="preserve"> Raksha Suresh </w:t>
      </w:r>
    </w:p>
    <w:p w:rsidR="0089454E" w:rsidP="4B638427" w:rsidRDefault="0089454E" w14:paraId="28653352" w14:textId="058CDADE">
      <w:pPr>
        <w:ind w:firstLine="720"/>
      </w:pPr>
    </w:p>
    <w:p w:rsidR="0089454E" w:rsidP="4B638427" w:rsidRDefault="0089454E" w14:paraId="0EC20348" w14:textId="40B2B8E4">
      <w:pPr>
        <w:ind w:firstLine="720"/>
        <w:rPr>
          <w:rFonts w:ascii="Aptos" w:hAnsi="Aptos" w:eastAsia="Aptos" w:cs="Aptos" w:asciiTheme="minorAscii" w:hAnsiTheme="minorAscii" w:eastAsiaTheme="minorAscii" w:cstheme="minorAscii"/>
        </w:rPr>
      </w:pPr>
      <w:r w:rsidR="1F5CF2AA">
        <w:rPr/>
        <w:t xml:space="preserve">The </w:t>
      </w:r>
      <w:r w:rsidR="0C8F5848">
        <w:rPr/>
        <w:t>“</w:t>
      </w:r>
      <w:r w:rsidR="1F5CF2AA">
        <w:rPr/>
        <w:t xml:space="preserve">Annual Bluegrass Weevil </w:t>
      </w:r>
      <w:r w:rsidR="5901CF36">
        <w:rPr/>
        <w:t xml:space="preserve">Larvae </w:t>
      </w:r>
      <w:r w:rsidR="1F5CF2AA">
        <w:rPr/>
        <w:t xml:space="preserve">Trial at </w:t>
      </w:r>
      <w:r w:rsidR="1F5CF2AA">
        <w:rPr/>
        <w:t>Heatherwoode</w:t>
      </w:r>
      <w:r w:rsidR="70D991F9">
        <w:rPr/>
        <w:t>”</w:t>
      </w:r>
      <w:r w:rsidR="1F5CF2AA">
        <w:rPr/>
        <w:t xml:space="preserve"> data set consists of the counts of surviv</w:t>
      </w:r>
      <w:r w:rsidR="4BC61B6B">
        <w:rPr/>
        <w:t xml:space="preserve">ing larvae, alongside their stages, </w:t>
      </w:r>
      <w:r w:rsidR="2F114D6C">
        <w:rPr/>
        <w:t>replicated across 6 random blocks</w:t>
      </w:r>
      <w:r w:rsidR="4BC61B6B">
        <w:rPr/>
        <w:t xml:space="preserve"> </w:t>
      </w:r>
      <w:r w:rsidR="6BA33B6B">
        <w:rPr/>
        <w:t xml:space="preserve">through 12 pesticide treatments and a set of untreated controls. </w:t>
      </w:r>
      <w:r w:rsidR="01B03E09">
        <w:rPr/>
        <w:t xml:space="preserve">This experiment was designed and </w:t>
      </w:r>
      <w:r w:rsidRPr="4B638427" w:rsidR="01B03E09">
        <w:rPr>
          <w:rFonts w:ascii="Aptos" w:hAnsi="Aptos" w:eastAsia="Aptos" w:cs="Aptos" w:asciiTheme="minorAscii" w:hAnsiTheme="minorAscii" w:eastAsiaTheme="minorAscii" w:cstheme="minorAscii"/>
        </w:rPr>
        <w:t xml:space="preserve">assessed </w:t>
      </w:r>
      <w:r w:rsidRPr="4B638427" w:rsidR="4A1C6883">
        <w:rPr>
          <w:rFonts w:ascii="Aptos" w:hAnsi="Aptos" w:eastAsia="Aptos" w:cs="Aptos" w:asciiTheme="minorAscii" w:hAnsiTheme="minorAscii" w:eastAsiaTheme="minorAscii" w:cstheme="minorAscii"/>
        </w:rPr>
        <w:t xml:space="preserve">in Spring of 2024 </w:t>
      </w:r>
      <w:r w:rsidRPr="4B638427" w:rsidR="01B03E09">
        <w:rPr>
          <w:rFonts w:ascii="Aptos" w:hAnsi="Aptos" w:eastAsia="Aptos" w:cs="Aptos" w:asciiTheme="minorAscii" w:hAnsiTheme="minorAscii" w:eastAsiaTheme="minorAscii" w:cstheme="minorAscii"/>
        </w:rPr>
        <w:t xml:space="preserve">by Henry Rice and </w:t>
      </w:r>
      <w:r w:rsidRPr="4B638427" w:rsidR="01B03E09">
        <w:rPr>
          <w:rFonts w:ascii="Aptos" w:hAnsi="Aptos" w:eastAsia="Aptos" w:cs="Aptos" w:asciiTheme="minorAscii" w:hAnsiTheme="minorAscii" w:eastAsiaTheme="minorAscii" w:cstheme="minorAscii"/>
        </w:rPr>
        <w:t xml:space="preserve">Shaohui Wu </w:t>
      </w:r>
      <w:r w:rsidRPr="4B638427" w:rsidR="55D79ECC">
        <w:rPr>
          <w:rFonts w:ascii="Aptos" w:hAnsi="Aptos" w:eastAsia="Aptos" w:cs="Aptos" w:asciiTheme="minorAscii" w:hAnsiTheme="minorAscii" w:eastAsiaTheme="minorAscii" w:cstheme="minorAscii"/>
        </w:rPr>
        <w:t>as a component of Rice’s thesis work on integrated pest control of the Annual Bluegrass Weevil</w:t>
      </w:r>
      <w:r w:rsidRPr="4B638427" w:rsidR="5561704F">
        <w:rPr>
          <w:rFonts w:ascii="Aptos" w:hAnsi="Aptos" w:eastAsia="Aptos" w:cs="Aptos" w:asciiTheme="minorAscii" w:hAnsiTheme="minorAscii" w:eastAsiaTheme="minorAscii" w:cstheme="minorAscii"/>
        </w:rPr>
        <w:t xml:space="preserve"> (ABW)</w:t>
      </w:r>
      <w:r w:rsidRPr="4B638427" w:rsidR="433119C0">
        <w:rPr>
          <w:rFonts w:ascii="Aptos" w:hAnsi="Aptos" w:eastAsia="Aptos" w:cs="Aptos" w:asciiTheme="minorAscii" w:hAnsiTheme="minorAscii" w:eastAsiaTheme="minorAscii" w:cstheme="minorAscii"/>
        </w:rPr>
        <w:t xml:space="preserve"> at the Ohio State University.</w:t>
      </w:r>
    </w:p>
    <w:p w:rsidR="0089454E" w:rsidP="4B638427" w:rsidRDefault="0089454E" w14:paraId="634174D6" w14:textId="54216428">
      <w:pPr>
        <w:ind w:firstLine="720"/>
        <w:rPr>
          <w:rFonts w:ascii="Aptos" w:hAnsi="Aptos" w:eastAsia="Aptos" w:cs="Aptos" w:asciiTheme="minorAscii" w:hAnsiTheme="minorAscii" w:eastAsiaTheme="minorAscii" w:cstheme="minorAscii"/>
        </w:rPr>
      </w:pPr>
      <w:r w:rsidRPr="4B638427" w:rsidR="6CDAE513">
        <w:rPr>
          <w:rFonts w:ascii="Aptos" w:hAnsi="Aptos" w:eastAsia="Aptos" w:cs="Aptos" w:asciiTheme="minorAscii" w:hAnsiTheme="minorAscii" w:eastAsiaTheme="minorAscii" w:cstheme="minorAscii"/>
        </w:rPr>
        <w:t xml:space="preserve">The data set describes 13 treatments, labeled T1 through T13, which include untreated control plots, </w:t>
      </w:r>
      <w:r w:rsidRPr="4B638427" w:rsidR="5BAE4D0F">
        <w:rPr>
          <w:rFonts w:ascii="Aptos" w:hAnsi="Aptos" w:eastAsia="Aptos" w:cs="Aptos" w:asciiTheme="minorAscii" w:hAnsiTheme="minorAscii" w:eastAsiaTheme="minorAscii" w:cstheme="minorAscii"/>
        </w:rPr>
        <w:t>early application</w:t>
      </w:r>
      <w:r w:rsidRPr="4B638427" w:rsidR="4D8104CF">
        <w:rPr>
          <w:rFonts w:ascii="Aptos" w:hAnsi="Aptos" w:eastAsia="Aptos" w:cs="Aptos" w:asciiTheme="minorAscii" w:hAnsiTheme="minorAscii" w:eastAsiaTheme="minorAscii" w:cstheme="minorAscii"/>
        </w:rPr>
        <w:t xml:space="preserve"> plots</w:t>
      </w:r>
      <w:r w:rsidRPr="4B638427" w:rsidR="6CDAE513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4B638427" w:rsidR="79BB1A68">
        <w:rPr>
          <w:rFonts w:ascii="Aptos" w:hAnsi="Aptos" w:eastAsia="Aptos" w:cs="Aptos" w:asciiTheme="minorAscii" w:hAnsiTheme="minorAscii" w:eastAsiaTheme="minorAscii" w:cstheme="minorAscii"/>
        </w:rPr>
        <w:t>and late application plots, treated with different</w:t>
      </w:r>
      <w:r w:rsidRPr="4B638427" w:rsidR="6CDAE513">
        <w:rPr>
          <w:rFonts w:ascii="Aptos" w:hAnsi="Aptos" w:eastAsia="Aptos" w:cs="Aptos" w:asciiTheme="minorAscii" w:hAnsiTheme="minorAscii" w:eastAsiaTheme="minorAscii" w:cstheme="minorAscii"/>
        </w:rPr>
        <w:t xml:space="preserve"> insecticides </w:t>
      </w:r>
      <w:r w:rsidRPr="4B638427" w:rsidR="66CA1A7B">
        <w:rPr>
          <w:rFonts w:ascii="Aptos" w:hAnsi="Aptos" w:eastAsia="Aptos" w:cs="Aptos" w:asciiTheme="minorAscii" w:hAnsiTheme="minorAscii" w:eastAsiaTheme="minorAscii" w:cstheme="minorAscii"/>
        </w:rPr>
        <w:t>using</w:t>
      </w:r>
      <w:r w:rsidRPr="4B638427" w:rsidR="6CDAE513">
        <w:rPr>
          <w:rFonts w:ascii="Aptos" w:hAnsi="Aptos" w:eastAsia="Aptos" w:cs="Aptos" w:asciiTheme="minorAscii" w:hAnsiTheme="minorAscii" w:eastAsiaTheme="minorAscii" w:cstheme="minorAscii"/>
        </w:rPr>
        <w:t xml:space="preserve"> dif</w:t>
      </w:r>
      <w:r w:rsidRPr="4B638427" w:rsidR="107EC1D8">
        <w:rPr>
          <w:rFonts w:ascii="Aptos" w:hAnsi="Aptos" w:eastAsia="Aptos" w:cs="Aptos" w:asciiTheme="minorAscii" w:hAnsiTheme="minorAscii" w:eastAsiaTheme="minorAscii" w:cstheme="minorAscii"/>
        </w:rPr>
        <w:t xml:space="preserve">ferent modes of action. </w:t>
      </w:r>
      <w:r w:rsidRPr="4B638427" w:rsidR="72C4AB75">
        <w:rPr>
          <w:rFonts w:ascii="Aptos" w:hAnsi="Aptos" w:eastAsia="Aptos" w:cs="Aptos" w:asciiTheme="minorAscii" w:hAnsiTheme="minorAscii" w:eastAsiaTheme="minorAscii" w:cstheme="minorAscii"/>
        </w:rPr>
        <w:t>The treatments are detailed in the table below.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51"/>
        <w:gridCol w:w="2422"/>
        <w:gridCol w:w="2470"/>
      </w:tblGrid>
      <w:tr w:rsidR="4B638427" w:rsidTr="4B638427" w14:paraId="762CDA61">
        <w:trPr>
          <w:trHeight w:val="300"/>
        </w:trPr>
        <w:tc>
          <w:tcPr>
            <w:tcW w:w="24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0C663F55" w14:textId="30B62D47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Treatment</w:t>
            </w:r>
          </w:p>
        </w:tc>
        <w:tc>
          <w:tcPr>
            <w:tcW w:w="24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2C3C6B8F" w14:textId="5C7868B8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1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  <w:vertAlign w:val="superscript"/>
              </w:rPr>
              <w:t>st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app (1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  <w:vertAlign w:val="superscript"/>
              </w:rPr>
              <w:t>st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to 2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  <w:vertAlign w:val="superscript"/>
              </w:rPr>
              <w:t>nd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instar, 4/30)</w:t>
            </w:r>
          </w:p>
        </w:tc>
        <w:tc>
          <w:tcPr>
            <w:tcW w:w="2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7E7C1C16" w14:textId="4A9753AE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2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  <w:vertAlign w:val="superscript"/>
              </w:rPr>
              <w:t>nd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app (3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  <w:vertAlign w:val="superscript"/>
              </w:rPr>
              <w:t>rd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to 4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  <w:vertAlign w:val="superscript"/>
              </w:rPr>
              <w:t>th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instar, 5/14)</w:t>
            </w:r>
          </w:p>
        </w:tc>
      </w:tr>
      <w:tr w:rsidR="4B638427" w:rsidTr="4B638427" w14:paraId="05D4B88C">
        <w:trPr>
          <w:trHeight w:val="300"/>
        </w:trPr>
        <w:tc>
          <w:tcPr>
            <w:tcW w:w="24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552950C5" w14:textId="117B396F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T1</w:t>
            </w:r>
          </w:p>
        </w:tc>
        <w:tc>
          <w:tcPr>
            <w:tcW w:w="4892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7FBB6CA7" w14:textId="091FBC57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Untreated check</w:t>
            </w:r>
          </w:p>
        </w:tc>
      </w:tr>
      <w:tr w:rsidR="4B638427" w:rsidTr="4B638427" w14:paraId="42D03562">
        <w:trPr>
          <w:trHeight w:val="300"/>
        </w:trPr>
        <w:tc>
          <w:tcPr>
            <w:tcW w:w="24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3D36C6A4" w14:textId="4F50BC0B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T2</w:t>
            </w:r>
          </w:p>
        </w:tc>
        <w:tc>
          <w:tcPr>
            <w:tcW w:w="24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7FBD83C5" w14:textId="189907EF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Suprado</w:t>
            </w:r>
          </w:p>
        </w:tc>
        <w:tc>
          <w:tcPr>
            <w:tcW w:w="247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658AA128" w14:textId="07D96CCE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4B638427" w:rsidTr="4B638427" w14:paraId="18AADBC0">
        <w:trPr>
          <w:trHeight w:val="300"/>
        </w:trPr>
        <w:tc>
          <w:tcPr>
            <w:tcW w:w="24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20DDD600" w14:textId="4FEB413A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T3</w:t>
            </w:r>
          </w:p>
        </w:tc>
        <w:tc>
          <w:tcPr>
            <w:tcW w:w="24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08E7EA1B" w14:textId="1876FF83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Tetrino</w:t>
            </w:r>
          </w:p>
        </w:tc>
        <w:tc>
          <w:tcPr>
            <w:tcW w:w="2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40EF6598" w14:textId="488081DD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4B638427" w:rsidTr="4B638427" w14:paraId="02EB1AB2">
        <w:trPr>
          <w:trHeight w:val="300"/>
        </w:trPr>
        <w:tc>
          <w:tcPr>
            <w:tcW w:w="24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24A5E925" w14:textId="5FB939FB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T4</w:t>
            </w:r>
          </w:p>
        </w:tc>
        <w:tc>
          <w:tcPr>
            <w:tcW w:w="24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26C4D674" w14:textId="1BC64936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Ference</w:t>
            </w:r>
          </w:p>
        </w:tc>
        <w:tc>
          <w:tcPr>
            <w:tcW w:w="2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0DAE6B2D" w14:textId="4881BD8F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4B638427" w:rsidTr="4B638427" w14:paraId="2BCE0863">
        <w:trPr>
          <w:trHeight w:val="300"/>
        </w:trPr>
        <w:tc>
          <w:tcPr>
            <w:tcW w:w="24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1E4F17E5" w14:textId="33F1D4FC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T5</w:t>
            </w:r>
          </w:p>
        </w:tc>
        <w:tc>
          <w:tcPr>
            <w:tcW w:w="24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3E1E110E" w14:textId="14AFF0F6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Plinazolin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 xml:space="preserve"> Tech.</w:t>
            </w:r>
          </w:p>
        </w:tc>
        <w:tc>
          <w:tcPr>
            <w:tcW w:w="2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4420282A" w14:textId="4A5E186C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4B638427" w:rsidTr="4B638427" w14:paraId="4E8D68CF">
        <w:trPr>
          <w:trHeight w:val="300"/>
        </w:trPr>
        <w:tc>
          <w:tcPr>
            <w:tcW w:w="24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46932CD8" w14:textId="3F340946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T6</w:t>
            </w:r>
          </w:p>
        </w:tc>
        <w:tc>
          <w:tcPr>
            <w:tcW w:w="24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6AB08F31" w14:textId="3A9CDF0F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Acelepryn</w:t>
            </w:r>
          </w:p>
        </w:tc>
        <w:tc>
          <w:tcPr>
            <w:tcW w:w="2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37AA49E9" w14:textId="6B42A081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4B638427" w:rsidTr="4B638427" w14:paraId="4A24F25F">
        <w:trPr>
          <w:trHeight w:val="300"/>
        </w:trPr>
        <w:tc>
          <w:tcPr>
            <w:tcW w:w="24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74F557D6" w14:textId="20436A0A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T7</w:t>
            </w:r>
          </w:p>
        </w:tc>
        <w:tc>
          <w:tcPr>
            <w:tcW w:w="24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2ADB6833" w14:textId="5322E7E4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2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2DB08476" w14:textId="694540C6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Suprado</w:t>
            </w:r>
          </w:p>
        </w:tc>
      </w:tr>
      <w:tr w:rsidR="4B638427" w:rsidTr="4B638427" w14:paraId="533A5DAF">
        <w:trPr>
          <w:trHeight w:val="300"/>
        </w:trPr>
        <w:tc>
          <w:tcPr>
            <w:tcW w:w="24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7E9B77ED" w14:textId="160192E8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T8</w:t>
            </w:r>
          </w:p>
        </w:tc>
        <w:tc>
          <w:tcPr>
            <w:tcW w:w="24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6E944839" w14:textId="00687611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2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63B2E8B8" w14:textId="374DF6E1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Tetrino</w:t>
            </w:r>
          </w:p>
        </w:tc>
      </w:tr>
      <w:tr w:rsidR="4B638427" w:rsidTr="4B638427" w14:paraId="2411B77A">
        <w:trPr>
          <w:trHeight w:val="300"/>
        </w:trPr>
        <w:tc>
          <w:tcPr>
            <w:tcW w:w="24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5BCCDA72" w14:textId="3110A70C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T9</w:t>
            </w:r>
          </w:p>
        </w:tc>
        <w:tc>
          <w:tcPr>
            <w:tcW w:w="24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6CF9E0D2" w14:textId="7AB4FCD0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2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15858771" w14:textId="46BAA153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Ference</w:t>
            </w:r>
          </w:p>
        </w:tc>
      </w:tr>
      <w:tr w:rsidR="4B638427" w:rsidTr="4B638427" w14:paraId="2A87A4BC">
        <w:trPr>
          <w:trHeight w:val="300"/>
        </w:trPr>
        <w:tc>
          <w:tcPr>
            <w:tcW w:w="24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3315BF9B" w14:textId="09404113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T10</w:t>
            </w:r>
          </w:p>
        </w:tc>
        <w:tc>
          <w:tcPr>
            <w:tcW w:w="24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70080110" w14:textId="0470712D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2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45C6AC7E" w14:textId="073D0D77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 xml:space="preserve"> Plinazolin Tech.</w:t>
            </w:r>
          </w:p>
        </w:tc>
      </w:tr>
      <w:tr w:rsidR="4B638427" w:rsidTr="4B638427" w14:paraId="698A41CE">
        <w:trPr>
          <w:trHeight w:val="300"/>
        </w:trPr>
        <w:tc>
          <w:tcPr>
            <w:tcW w:w="24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6AACA0C3" w14:textId="5AD08707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T11</w:t>
            </w:r>
          </w:p>
        </w:tc>
        <w:tc>
          <w:tcPr>
            <w:tcW w:w="24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14ACA077" w14:textId="213979BA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2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355B2F02" w14:textId="63D164BD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Matchpoint</w:t>
            </w:r>
          </w:p>
        </w:tc>
      </w:tr>
      <w:tr w:rsidR="4B638427" w:rsidTr="4B638427" w14:paraId="49269614">
        <w:trPr>
          <w:trHeight w:val="300"/>
        </w:trPr>
        <w:tc>
          <w:tcPr>
            <w:tcW w:w="24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42D4881A" w14:textId="4786C932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T12</w:t>
            </w:r>
          </w:p>
        </w:tc>
        <w:tc>
          <w:tcPr>
            <w:tcW w:w="24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4C722737" w14:textId="3B77788D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2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0F5DC028" w14:textId="5B43EF0D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Provaunt</w:t>
            </w:r>
          </w:p>
        </w:tc>
      </w:tr>
      <w:tr w:rsidR="4B638427" w:rsidTr="4B638427" w14:paraId="1FF6D57F">
        <w:trPr>
          <w:trHeight w:val="300"/>
        </w:trPr>
        <w:tc>
          <w:tcPr>
            <w:tcW w:w="24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118B6A0A" w14:textId="7BB911D8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T13</w:t>
            </w:r>
          </w:p>
        </w:tc>
        <w:tc>
          <w:tcPr>
            <w:tcW w:w="24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68715D93" w14:textId="32147938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2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B638427" w:rsidP="4B638427" w:rsidRDefault="4B638427" w14:paraId="49298674" w14:textId="65E337AF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Dylox</w:t>
            </w:r>
          </w:p>
        </w:tc>
      </w:tr>
    </w:tbl>
    <w:p w:rsidR="0089454E" w:rsidP="4B638427" w:rsidRDefault="0089454E" w14:paraId="094AC04F" w14:textId="508EE80A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0089454E" w:rsidP="4B638427" w:rsidRDefault="0089454E" w14:paraId="04A0027F" w14:textId="77AD9139">
      <w:pPr>
        <w:spacing w:before="240" w:beforeAutospacing="off" w:after="240" w:afterAutospacing="off" w:line="240" w:lineRule="auto"/>
        <w:ind w:firstLine="720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B638427" w:rsidR="650D81C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Treatments were applied </w:t>
      </w:r>
      <w:r w:rsidRPr="4B638427" w:rsidR="325E150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according to the mix rates</w:t>
      </w:r>
      <w:r w:rsidRPr="4B638427" w:rsidR="478C0E4E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table</w:t>
      </w:r>
      <w:r w:rsidRPr="4B638427" w:rsidR="325E150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below, </w:t>
      </w:r>
      <w:r w:rsidRPr="4B638427" w:rsidR="650D81C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at 2 gallons per 1000 sq ft at 40 PSI using a two-nozzle CO</w:t>
      </w:r>
      <w:r w:rsidRPr="4B638427" w:rsidR="650D81C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2</w:t>
      </w:r>
      <w:r w:rsidRPr="4B638427" w:rsidR="650D81C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backpack sprayer, followed with 0.1 in. </w:t>
      </w:r>
      <w:r w:rsidRPr="4B638427" w:rsidR="020D74C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4B638427" w:rsidR="650D81C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rrigation</w:t>
      </w:r>
      <w:r w:rsidRPr="4B638427" w:rsidR="020D74C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638427" w:rsidR="650D81C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following each application. </w:t>
      </w:r>
      <w:r w:rsidRPr="4B638427" w:rsidR="333E477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Each plot was a 5 foot by </w:t>
      </w:r>
      <w:r w:rsidRPr="4B638427" w:rsidR="333E477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5 foot</w:t>
      </w:r>
      <w:r w:rsidRPr="4B638427" w:rsidR="333E477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area in an area known to be infested with A</w:t>
      </w:r>
      <w:r w:rsidRPr="4B638427" w:rsidR="7EA0840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BW. </w:t>
      </w:r>
      <w:r w:rsidRPr="4B638427" w:rsidR="761A23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8 turf samples from each plot were collected and salt flushed to check for active larvae.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530"/>
        <w:gridCol w:w="1695"/>
        <w:gridCol w:w="1620"/>
        <w:gridCol w:w="1485"/>
        <w:gridCol w:w="1545"/>
      </w:tblGrid>
      <w:tr w:rsidR="4B638427" w:rsidTr="4B638427" w14:paraId="0B1DFEA7">
        <w:trPr>
          <w:trHeight w:val="300"/>
        </w:trPr>
        <w:tc>
          <w:tcPr>
            <w:tcW w:w="1440" w:type="dxa"/>
            <w:tcBorders>
              <w:top w:val="single" w:sz="8"/>
              <w:left w:val="nil"/>
              <w:bottom w:val="single" w:color="000000" w:themeColor="text1" w:sz="12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74FF879F" w14:textId="1AB1A93E">
            <w:pPr>
              <w:spacing w:before="0" w:beforeAutospacing="off" w:after="12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Product</w:t>
            </w:r>
          </w:p>
        </w:tc>
        <w:tc>
          <w:tcPr>
            <w:tcW w:w="1530" w:type="dxa"/>
            <w:tcBorders>
              <w:top w:val="single" w:sz="8"/>
              <w:left w:val="nil"/>
              <w:bottom w:val="single" w:color="000000" w:themeColor="text1" w:sz="12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4A6C4BF7" w14:textId="33CEF5FF">
            <w:pPr>
              <w:spacing w:before="0" w:beforeAutospacing="off" w:after="12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Rate</w:t>
            </w:r>
          </w:p>
        </w:tc>
        <w:tc>
          <w:tcPr>
            <w:tcW w:w="1695" w:type="dxa"/>
            <w:tcBorders>
              <w:top w:val="single" w:sz="8"/>
              <w:left w:val="nil"/>
              <w:bottom w:val="single" w:color="000000" w:themeColor="text1" w:sz="12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6C5A0233" w14:textId="7E61FFD1">
            <w:pPr>
              <w:spacing w:before="0" w:beforeAutospacing="off" w:after="12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Product</w:t>
            </w:r>
          </w:p>
        </w:tc>
        <w:tc>
          <w:tcPr>
            <w:tcW w:w="1620" w:type="dxa"/>
            <w:tcBorders>
              <w:top w:val="single" w:sz="8"/>
              <w:left w:val="nil"/>
              <w:bottom w:val="single" w:color="000000" w:themeColor="text1" w:sz="12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5EE7F987" w14:textId="611FA993">
            <w:pPr>
              <w:spacing w:before="0" w:beforeAutospacing="off" w:after="12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Rate</w:t>
            </w:r>
          </w:p>
        </w:tc>
        <w:tc>
          <w:tcPr>
            <w:tcW w:w="1485" w:type="dxa"/>
            <w:tcBorders>
              <w:top w:val="single" w:sz="8"/>
              <w:left w:val="nil"/>
              <w:bottom w:val="single" w:color="000000" w:themeColor="text1" w:sz="12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7DE32DA1" w14:textId="1B7F7120">
            <w:pPr>
              <w:spacing w:before="0" w:beforeAutospacing="off" w:after="12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Product</w:t>
            </w:r>
          </w:p>
        </w:tc>
        <w:tc>
          <w:tcPr>
            <w:tcW w:w="1545" w:type="dxa"/>
            <w:tcBorders>
              <w:top w:val="single" w:sz="8"/>
              <w:left w:val="nil"/>
              <w:bottom w:val="single" w:color="000000" w:themeColor="text1" w:sz="12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6A9A7307" w14:textId="41A1D41F">
            <w:pPr>
              <w:spacing w:before="0" w:beforeAutospacing="off" w:after="12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Rate</w:t>
            </w:r>
          </w:p>
        </w:tc>
      </w:tr>
      <w:tr w:rsidR="4B638427" w:rsidTr="4B638427" w14:paraId="660D9356">
        <w:trPr>
          <w:trHeight w:val="750"/>
        </w:trPr>
        <w:tc>
          <w:tcPr>
            <w:tcW w:w="144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17D53C57" w14:textId="53810476">
            <w:pPr>
              <w:spacing w:before="0" w:beforeAutospacing="off" w:after="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Suprado</w:t>
            </w:r>
          </w:p>
        </w:tc>
        <w:tc>
          <w:tcPr>
            <w:tcW w:w="153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3A3B4E53" w14:textId="7BBBFCB3">
            <w:pPr>
              <w:spacing w:before="0" w:beforeAutospacing="off" w:after="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 xml:space="preserve">128 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fl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 xml:space="preserve"> oz/A</w:t>
            </w:r>
          </w:p>
        </w:tc>
        <w:tc>
          <w:tcPr>
            <w:tcW w:w="1695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7A7A5033" w14:textId="3B51C9B9">
            <w:pPr>
              <w:spacing w:before="0" w:beforeAutospacing="off" w:after="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Tetrino</w:t>
            </w:r>
          </w:p>
        </w:tc>
        <w:tc>
          <w:tcPr>
            <w:tcW w:w="162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2E09C861" w14:textId="7525C21E">
            <w:pPr>
              <w:spacing w:before="0" w:beforeAutospacing="off" w:after="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 xml:space="preserve">32 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fl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 xml:space="preserve"> oz/A</w:t>
            </w:r>
          </w:p>
        </w:tc>
        <w:tc>
          <w:tcPr>
            <w:tcW w:w="1485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4D06B671" w14:textId="269563B8">
            <w:pPr>
              <w:spacing w:before="0" w:beforeAutospacing="off" w:after="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 xml:space="preserve">Ference </w:t>
            </w:r>
          </w:p>
        </w:tc>
        <w:tc>
          <w:tcPr>
            <w:tcW w:w="1545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2C1F4A2D" w14:textId="73A9FE13">
            <w:pPr>
              <w:spacing w:before="0" w:beforeAutospacing="off" w:after="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 xml:space="preserve">12 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fl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 xml:space="preserve"> oz/A</w:t>
            </w:r>
          </w:p>
        </w:tc>
      </w:tr>
      <w:tr w:rsidR="4B638427" w:rsidTr="4B638427" w14:paraId="53EF3C7E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14C7A7DE" w14:textId="61B1521D">
            <w:pPr>
              <w:spacing w:before="0" w:beforeAutospacing="off" w:after="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Acelepryn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09E26776" w14:textId="6CFDCFB6">
            <w:pPr>
              <w:spacing w:before="0" w:beforeAutospacing="off" w:after="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 xml:space="preserve">12 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fl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 xml:space="preserve"> oz/A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6D5A8B77" w14:textId="5A01417C">
            <w:pPr>
              <w:spacing w:before="0" w:beforeAutospacing="off" w:after="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Plinazolin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0BE47175" w14:textId="0FE9B8D7">
            <w:pPr>
              <w:spacing w:before="0" w:beforeAutospacing="off" w:after="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 xml:space="preserve">10.3 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fl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 xml:space="preserve"> oz/A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6F68E60C" w14:textId="07E49A17">
            <w:pPr>
              <w:spacing w:before="0" w:beforeAutospacing="off" w:after="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MatchPoint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7B064E4B" w14:textId="5F586DBE">
            <w:pPr>
              <w:spacing w:before="0" w:beforeAutospacing="off" w:after="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16 oz/A</w:t>
            </w:r>
          </w:p>
        </w:tc>
      </w:tr>
      <w:tr w:rsidR="4B638427" w:rsidTr="4B638427" w14:paraId="02D4166F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color="000000" w:themeColor="text1" w:sz="12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7035C7F5" w14:textId="1675B80D">
            <w:pPr>
              <w:spacing w:before="0" w:beforeAutospacing="off" w:after="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4B638427" w:rsidP="4B638427" w:rsidRDefault="4B638427" w14:paraId="2F18E0B4" w14:textId="047A2851">
            <w:pPr>
              <w:spacing w:before="0" w:beforeAutospacing="off" w:after="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Provaunt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000000" w:themeColor="text1" w:sz="12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63FF6708" w14:textId="2FA0AB4A">
            <w:pPr>
              <w:spacing w:before="0" w:beforeAutospacing="off" w:after="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4B638427" w:rsidP="4B638427" w:rsidRDefault="4B638427" w14:paraId="17C1AA64" w14:textId="6BE03FB1">
            <w:pPr>
              <w:spacing w:before="0" w:beforeAutospacing="off" w:after="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18 oz/A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000000" w:themeColor="text1" w:sz="12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7BCF79AD" w14:textId="78F1F0F7">
            <w:pPr>
              <w:spacing w:before="0" w:beforeAutospacing="off" w:after="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4B638427" w:rsidP="4B638427" w:rsidRDefault="4B638427" w14:paraId="08516E99" w14:textId="53EABD73">
            <w:pPr>
              <w:spacing w:before="0" w:beforeAutospacing="off" w:after="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Dylox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000000" w:themeColor="text1" w:sz="12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40A5E1EB" w14:textId="0B2861E8">
            <w:pPr>
              <w:spacing w:before="0" w:beforeAutospacing="off" w:after="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4B638427" w:rsidP="4B638427" w:rsidRDefault="4B638427" w14:paraId="7C77C273" w14:textId="01EC0A8B">
            <w:pPr>
              <w:spacing w:before="0" w:beforeAutospacing="off" w:after="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 xml:space="preserve">300 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>fl</w:t>
            </w: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 xml:space="preserve"> oz/A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000000" w:themeColor="text1" w:sz="12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2BDE20EB" w14:textId="339ABEA9">
            <w:pPr>
              <w:spacing w:before="0" w:beforeAutospacing="off" w:after="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4B638427" w:rsidR="4B638427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color="000000" w:themeColor="text1" w:sz="12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B638427" w:rsidP="4B638427" w:rsidRDefault="4B638427" w14:paraId="0A64C441" w14:textId="66807FB6">
            <w:pPr>
              <w:spacing w:before="0" w:beforeAutospacing="off" w:after="0" w:afterAutospacing="off" w:line="276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089454E" w:rsidP="4B638427" w:rsidRDefault="0089454E" w14:paraId="28D3C437" w14:textId="3501FC8B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0089454E" w:rsidP="4B638427" w:rsidRDefault="0089454E" w14:paraId="5B0935B8" w14:textId="29A7A380">
      <w:pPr>
        <w:ind w:firstLine="720"/>
      </w:pPr>
      <w:r w:rsidR="43EC1331">
        <w:rPr/>
        <w:t xml:space="preserve">Our goal in analyzing this data is to compare the various insecticide treatments to the control plots in how effective they were at controlling ABW. </w:t>
      </w:r>
      <w:r w:rsidR="659A9BC8">
        <w:rPr/>
        <w:t>We plan to use a Generalized Mixed Linear model to make these comparisons. The response variable is a count of the surviving larvae</w:t>
      </w:r>
      <w:r w:rsidR="2443AC94">
        <w:rPr/>
        <w:t xml:space="preserve"> which follow a Poisson distribution. </w:t>
      </w:r>
      <w:r w:rsidR="4F1639CE">
        <w:rPr/>
        <w:t xml:space="preserve">The predictor variable is Treatment, a categorical variable ranging from T1 to T13. The random variable is Blocks, ranging from Block 1 to Block 6. </w:t>
      </w:r>
    </w:p>
    <w:p w:rsidR="0089454E" w:rsidP="4B638427" w:rsidRDefault="0089454E" w14:paraId="508E291F" w14:textId="2CC4F737">
      <w:pPr>
        <w:ind w:firstLine="720"/>
      </w:pPr>
      <w:r w:rsidR="4A890FBF">
        <w:rPr/>
        <w:t>To</w:t>
      </w:r>
      <w:r w:rsidR="11F576E9">
        <w:rPr/>
        <w:t xml:space="preserve"> </w:t>
      </w:r>
      <w:r w:rsidR="11F576E9">
        <w:rPr/>
        <w:t xml:space="preserve">prepare the data for importation into R, </w:t>
      </w:r>
      <w:r w:rsidR="0EA64750">
        <w:rPr/>
        <w:t>the relevant data sheet was copied into a new excel file, and columns of data irrelevant to our analysis were remove</w:t>
      </w:r>
      <w:r w:rsidR="0D3A944A">
        <w:rPr/>
        <w:t xml:space="preserve">d. </w:t>
      </w:r>
      <w:r w:rsidR="7C5AF22E">
        <w:rPr/>
        <w:t xml:space="preserve">All header cells were edited to remove </w:t>
      </w:r>
      <w:r w:rsidR="18EEBCBB">
        <w:rPr/>
        <w:t>characters</w:t>
      </w:r>
      <w:r w:rsidR="7C5AF22E">
        <w:rPr/>
        <w:t xml:space="preserve"> that can interfere with R. </w:t>
      </w:r>
      <w:r w:rsidR="499DAA44">
        <w:rPr/>
        <w:t xml:space="preserve">The cleaned excel file can </w:t>
      </w:r>
      <w:r w:rsidR="70AB10E0">
        <w:rPr/>
        <w:t>now</w:t>
      </w:r>
      <w:r w:rsidR="499DAA44">
        <w:rPr/>
        <w:t xml:space="preserve"> be imported into R using the </w:t>
      </w:r>
      <w:r w:rsidR="0476FF71">
        <w:rPr/>
        <w:t>readxl</w:t>
      </w:r>
      <w:r w:rsidR="0476FF71">
        <w:rPr/>
        <w:t xml:space="preserve"> package.</w:t>
      </w:r>
    </w:p>
    <w:p w:rsidR="4B638427" w:rsidP="4B638427" w:rsidRDefault="4B638427" w14:paraId="5BED10A6" w14:textId="0E8B0174">
      <w:pPr>
        <w:ind w:firstLine="720"/>
      </w:pPr>
    </w:p>
    <w:p w:rsidR="0089454E" w:rsidRDefault="0089454E" w14:paraId="5525FFBC" w14:textId="23FE3F49">
      <w:r w:rsidR="6DC410B7">
        <w:rPr/>
        <w:t>SUMMARY STATISTICS FOR RELEVANT VARIABLES</w:t>
      </w:r>
    </w:p>
    <w:p w:rsidR="6DC410B7" w:rsidP="4B638427" w:rsidRDefault="6DC410B7" w14:paraId="486B98B1" w14:textId="343B590B">
      <w:pPr>
        <w:pStyle w:val="Normal"/>
      </w:pPr>
      <w:r w:rsidR="6DC410B7">
        <w:rPr/>
        <w:t>PERTINENT GRAPHS</w:t>
      </w:r>
    </w:p>
    <w:p w:rsidR="6DC410B7" w:rsidP="4B638427" w:rsidRDefault="6DC410B7" w14:paraId="55703E8B" w14:textId="44A839FF">
      <w:pPr>
        <w:pStyle w:val="Normal"/>
      </w:pPr>
      <w:r w:rsidR="6DC410B7">
        <w:rPr/>
        <w:t>POSSIBLE OBSTACLES</w:t>
      </w:r>
    </w:p>
    <w:sectPr w:rsidR="0089454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VDSr2bTEWPJ7W" int2:id="axSG94Yi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4C018A"/>
    <w:rsid w:val="001A103B"/>
    <w:rsid w:val="002372A9"/>
    <w:rsid w:val="0054369E"/>
    <w:rsid w:val="006A5212"/>
    <w:rsid w:val="0089454E"/>
    <w:rsid w:val="00A74FBA"/>
    <w:rsid w:val="00C756C3"/>
    <w:rsid w:val="01168287"/>
    <w:rsid w:val="01B03E09"/>
    <w:rsid w:val="020D74C9"/>
    <w:rsid w:val="02359B63"/>
    <w:rsid w:val="02443256"/>
    <w:rsid w:val="0259265A"/>
    <w:rsid w:val="03062989"/>
    <w:rsid w:val="0476FF71"/>
    <w:rsid w:val="06661CF3"/>
    <w:rsid w:val="06EF4E7B"/>
    <w:rsid w:val="099CF9FE"/>
    <w:rsid w:val="0A0A7ED8"/>
    <w:rsid w:val="0A3747B7"/>
    <w:rsid w:val="0C8F5848"/>
    <w:rsid w:val="0D3A944A"/>
    <w:rsid w:val="0E295F12"/>
    <w:rsid w:val="0EA64750"/>
    <w:rsid w:val="107EC1D8"/>
    <w:rsid w:val="117CE396"/>
    <w:rsid w:val="11F576E9"/>
    <w:rsid w:val="144C018A"/>
    <w:rsid w:val="14C7AB3D"/>
    <w:rsid w:val="169222D4"/>
    <w:rsid w:val="185FAE77"/>
    <w:rsid w:val="18EEBCBB"/>
    <w:rsid w:val="18F66EE8"/>
    <w:rsid w:val="1989068A"/>
    <w:rsid w:val="1BE350EC"/>
    <w:rsid w:val="1C6D54F4"/>
    <w:rsid w:val="1DF55A16"/>
    <w:rsid w:val="1DF55A16"/>
    <w:rsid w:val="1F5CF2AA"/>
    <w:rsid w:val="1FB755C6"/>
    <w:rsid w:val="2051ABFE"/>
    <w:rsid w:val="235E7BD5"/>
    <w:rsid w:val="2443AC94"/>
    <w:rsid w:val="24FEBE55"/>
    <w:rsid w:val="25F3CF44"/>
    <w:rsid w:val="275C1955"/>
    <w:rsid w:val="27F1CC0D"/>
    <w:rsid w:val="2C49AEB9"/>
    <w:rsid w:val="2C76484A"/>
    <w:rsid w:val="2D2299E0"/>
    <w:rsid w:val="2D5DB256"/>
    <w:rsid w:val="2F114D6C"/>
    <w:rsid w:val="2F92A41D"/>
    <w:rsid w:val="319328E7"/>
    <w:rsid w:val="325E1506"/>
    <w:rsid w:val="333E4770"/>
    <w:rsid w:val="33D1A4B1"/>
    <w:rsid w:val="34583255"/>
    <w:rsid w:val="358DD545"/>
    <w:rsid w:val="39E1764F"/>
    <w:rsid w:val="3A14F1E7"/>
    <w:rsid w:val="3CB535F4"/>
    <w:rsid w:val="3D123BAD"/>
    <w:rsid w:val="3E4338E0"/>
    <w:rsid w:val="3EBBA6BD"/>
    <w:rsid w:val="433119C0"/>
    <w:rsid w:val="43B0D7B7"/>
    <w:rsid w:val="43EC1331"/>
    <w:rsid w:val="44089465"/>
    <w:rsid w:val="46836B93"/>
    <w:rsid w:val="469A5128"/>
    <w:rsid w:val="4713D3F5"/>
    <w:rsid w:val="478C0E4E"/>
    <w:rsid w:val="485F0D04"/>
    <w:rsid w:val="48824620"/>
    <w:rsid w:val="49075842"/>
    <w:rsid w:val="499DAA44"/>
    <w:rsid w:val="4A1C6883"/>
    <w:rsid w:val="4A890FBF"/>
    <w:rsid w:val="4B638427"/>
    <w:rsid w:val="4BC61B6B"/>
    <w:rsid w:val="4C84A254"/>
    <w:rsid w:val="4D8104CF"/>
    <w:rsid w:val="4F1639CE"/>
    <w:rsid w:val="52D9F9C0"/>
    <w:rsid w:val="53090033"/>
    <w:rsid w:val="5464B3BB"/>
    <w:rsid w:val="5561704F"/>
    <w:rsid w:val="55D79ECC"/>
    <w:rsid w:val="5676360E"/>
    <w:rsid w:val="5784A50B"/>
    <w:rsid w:val="5901CF36"/>
    <w:rsid w:val="5AD1331B"/>
    <w:rsid w:val="5B3F226B"/>
    <w:rsid w:val="5B3F226B"/>
    <w:rsid w:val="5BAE4D0F"/>
    <w:rsid w:val="5BDFDBCC"/>
    <w:rsid w:val="5C2395C8"/>
    <w:rsid w:val="5D7AEB06"/>
    <w:rsid w:val="5EEFB0CB"/>
    <w:rsid w:val="63471854"/>
    <w:rsid w:val="64E1736B"/>
    <w:rsid w:val="650D81C3"/>
    <w:rsid w:val="655D03AE"/>
    <w:rsid w:val="659A9BC8"/>
    <w:rsid w:val="66B66685"/>
    <w:rsid w:val="66CA1A7B"/>
    <w:rsid w:val="6BA33B6B"/>
    <w:rsid w:val="6C079EA5"/>
    <w:rsid w:val="6CD6D09F"/>
    <w:rsid w:val="6CDAE513"/>
    <w:rsid w:val="6DC410B7"/>
    <w:rsid w:val="6E14C498"/>
    <w:rsid w:val="6E14C498"/>
    <w:rsid w:val="70AB10E0"/>
    <w:rsid w:val="70D991F9"/>
    <w:rsid w:val="72713A67"/>
    <w:rsid w:val="72C4AB75"/>
    <w:rsid w:val="761A23EF"/>
    <w:rsid w:val="77FCA296"/>
    <w:rsid w:val="79BB1A68"/>
    <w:rsid w:val="79CA125B"/>
    <w:rsid w:val="7C5AF22E"/>
    <w:rsid w:val="7E436DCD"/>
    <w:rsid w:val="7E78BF6D"/>
    <w:rsid w:val="7EA08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018A"/>
  <w15:chartTrackingRefBased/>
  <w15:docId w15:val="{BF72437E-5CF7-44A7-A196-49DF19AA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931d86d088744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Rice, Henry</dc:creator>
  <keywords/>
  <dc:description/>
  <lastModifiedBy>Rice, Henry</lastModifiedBy>
  <revision>7</revision>
  <dcterms:created xsi:type="dcterms:W3CDTF">2024-09-16T18:56:00.0000000Z</dcterms:created>
  <dcterms:modified xsi:type="dcterms:W3CDTF">2024-09-23T18:26:02.9807282Z</dcterms:modified>
</coreProperties>
</file>