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Kickstarter Campaigns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Conclusions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About 53% of Kickstarter campaigns are deemed successful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Theatre had the highest number of successful campaigns while journalism had 0 successful campaigns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United States was responsible for over 70% of the data collected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Limitations of Dataset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if there are any outliers in the average donation. For example did one individual pledge $5,000  and 181 individuals pledge $35.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Some timelines are longer than others. For example there are campaigns that only lasted a week vs campaigns that lasted two months.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the difference between canceled campaign vs failed campaign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data set we have per year is off. In 2009 we only have 14 campaigns to go off of (excluding live) while we have 1225 campaigns in 2015.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Possible Tables/Graphs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A graph that shows average $ pledged per category 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A table that compares number of backers to average donation to see if donation amounts are similar if you have for example 100 total backers.  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 table that shows succession, cancelled, and failed rate based on the campaign goal. Do most campaigns fail that have goals of $50,000 and higher?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6860363" cy="272666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400" u="none">
                <a:solidFill>
                  <a:srgbClr val="595959"/>
                </a:solidFill>
                <a:latin typeface="Calibri"/>
              </a:defRPr>
            </a:pPr>
            <a:r>
              <a:rPr b="0" i="0" strike="noStrike" sz="1400" u="none">
                <a:solidFill>
                  <a:srgbClr val="595959"/>
                </a:solidFill>
                <a:latin typeface="Calibri"/>
              </a:rPr>
              <a:t>Outcomes Based On Goal</a:t>
            </a:r>
          </a:p>
        </c:rich>
      </c:tx>
      <c:layout>
        <c:manualLayout>
          <c:xMode val="edge"/>
          <c:yMode val="edge"/>
          <c:x val="0.366144"/>
          <c:y val="0"/>
          <c:w val="0.267712"/>
          <c:h val="0.1114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482364"/>
          <c:y val="0.11143"/>
          <c:w val="0.885991"/>
          <c:h val="0.70074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Percentage Successful </c:v>
                </c:pt>
              </c:strCache>
            </c:strRef>
          </c:tx>
          <c:spPr>
            <a:noFill/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000000">
                  <a:alpha val="0"/>
                </a:srgbClr>
              </a:solidFill>
              <a:ln w="28575" cap="rnd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numFmt formatCode="0%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Less than 1000</c:v>
                </c:pt>
                <c:pt idx="1">
                  <c:v>1000 to 4900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Sheet1!$B$2:$L$2</c:f>
              <c:numCache>
                <c:ptCount val="11"/>
                <c:pt idx="0">
                  <c:v>0.710817</c:v>
                </c:pt>
                <c:pt idx="1">
                  <c:v>0.660057</c:v>
                </c:pt>
                <c:pt idx="2">
                  <c:v>0.532123</c:v>
                </c:pt>
                <c:pt idx="3">
                  <c:v>0.477273</c:v>
                </c:pt>
                <c:pt idx="4">
                  <c:v>0.467662</c:v>
                </c:pt>
                <c:pt idx="5">
                  <c:v>0.418919</c:v>
                </c:pt>
                <c:pt idx="6">
                  <c:v>0.390244</c:v>
                </c:pt>
                <c:pt idx="7">
                  <c:v>0.472727</c:v>
                </c:pt>
                <c:pt idx="8">
                  <c:v>0.488372</c:v>
                </c:pt>
                <c:pt idx="9">
                  <c:v>0.285714</c:v>
                </c:pt>
                <c:pt idx="10">
                  <c:v>0.193694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Percentage Failed</c:v>
                </c:pt>
              </c:strCache>
            </c:strRef>
          </c:tx>
          <c:spPr>
            <a:noFill/>
            <a:ln w="2857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000000">
                  <a:alpha val="0"/>
                </a:srgbClr>
              </a:solidFill>
              <a:ln w="28575" cap="rnd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numFmt formatCode="0%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Less than 1000</c:v>
                </c:pt>
                <c:pt idx="1">
                  <c:v>1000 to 4900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Sheet1!$B$3:$L$3</c:f>
              <c:numCache>
                <c:ptCount val="11"/>
                <c:pt idx="0">
                  <c:v>0.249448</c:v>
                </c:pt>
                <c:pt idx="1">
                  <c:v>0.297450</c:v>
                </c:pt>
                <c:pt idx="2">
                  <c:v>0.395251</c:v>
                </c:pt>
                <c:pt idx="3">
                  <c:v>0.409091</c:v>
                </c:pt>
                <c:pt idx="4">
                  <c:v>0.447761</c:v>
                </c:pt>
                <c:pt idx="5">
                  <c:v>0.486486</c:v>
                </c:pt>
                <c:pt idx="6">
                  <c:v>0.451220</c:v>
                </c:pt>
                <c:pt idx="7">
                  <c:v>0.400000</c:v>
                </c:pt>
                <c:pt idx="8">
                  <c:v>0.372093</c:v>
                </c:pt>
                <c:pt idx="9">
                  <c:v>0.523810</c:v>
                </c:pt>
                <c:pt idx="10">
                  <c:v>0.581081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Percentage Canceled</c:v>
                </c:pt>
              </c:strCache>
            </c:strRef>
          </c:tx>
          <c:spPr>
            <a:noFill/>
            <a:ln w="28575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000000">
                  <a:alpha val="0"/>
                </a:srgbClr>
              </a:solidFill>
              <a:ln w="28575" cap="rnd">
                <a:solidFill>
                  <a:schemeClr val="accent3"/>
                </a:solidFill>
                <a:prstDash val="solid"/>
                <a:round/>
              </a:ln>
              <a:effectLst/>
            </c:spPr>
          </c:marker>
          <c:dLbls>
            <c:numFmt formatCode="0%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Less than 1000</c:v>
                </c:pt>
                <c:pt idx="1">
                  <c:v>1000 to 4900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Greater than or equal to 50000</c:v>
                </c:pt>
              </c:strCache>
            </c:strRef>
          </c:cat>
          <c:val>
            <c:numRef>
              <c:f>Sheet1!$B$4:$L$4</c:f>
              <c:numCache>
                <c:ptCount val="11"/>
                <c:pt idx="0">
                  <c:v>0.039735</c:v>
                </c:pt>
                <c:pt idx="1">
                  <c:v>0.042493</c:v>
                </c:pt>
                <c:pt idx="2">
                  <c:v>0.072626</c:v>
                </c:pt>
                <c:pt idx="3">
                  <c:v>0.113636</c:v>
                </c:pt>
                <c:pt idx="4">
                  <c:v>0.084577</c:v>
                </c:pt>
                <c:pt idx="5">
                  <c:v>0.094595</c:v>
                </c:pt>
                <c:pt idx="6">
                  <c:v>0.158537</c:v>
                </c:pt>
                <c:pt idx="7">
                  <c:v>0.127273</c:v>
                </c:pt>
                <c:pt idx="8">
                  <c:v>0.139535</c:v>
                </c:pt>
                <c:pt idx="9">
                  <c:v>0.190476</c:v>
                </c:pt>
                <c:pt idx="10">
                  <c:v>0.225225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D9D9D9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%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0.2"/>
        <c:minorUnit val="0.1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96141"/>
          <c:y val="0.861551"/>
          <c:w val="0.190675"/>
          <c:h val="0.13844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00" u="non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