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Times New Roman" w:hAnsi="Times New Roman" w:cs="Times New Roman" w:eastAsia="Times New Roman"/>
          <w:b/>
          <w:i w:val="0"/>
          <w:sz w:val="22"/>
        </w:rPr>
        <w:t>Table S5. Post hoc formal minimum sample-size justification by cohort (Riley et al. 2020, BMJ 368:m441).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907"/>
        <w:gridCol w:w="964"/>
        <w:gridCol w:w="1191"/>
        <w:gridCol w:w="964"/>
        <w:gridCol w:w="964"/>
        <w:gridCol w:w="1020"/>
        <w:gridCol w:w="964"/>
        <w:gridCol w:w="964"/>
        <w:gridCol w:w="1020"/>
        <w:gridCol w:w="964"/>
        <w:gridCol w:w="1020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Cohort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p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Prevalence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C-stat</w:t>
              <w:br/>
              <w:t>(LR, BC)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Cox-Snell</w:t>
              <w:br/>
              <w:t>R²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n</w:t>
              <w:br/>
              <w:t>Required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Events</w:t>
              <w:br/>
              <w:t>Req.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EPP</w:t>
              <w:br/>
              <w:t>Req.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n</w:t>
              <w:br/>
              <w:t>Actual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Events</w:t>
              <w:br/>
              <w:t>Actual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EPV</w:t>
              <w:br/>
              <w:t>Actual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Adequate?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1-Year flare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0.230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0.709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0.0964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795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182.8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20.32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430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99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5-Year flare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0.466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0.670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0.0880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972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453.0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45.30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166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16.60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Serial biopsy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0.486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0.660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0.0786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186.6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93.31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ESRD 5-Year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0.141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0.797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0.1415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293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8.26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796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22.40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Yes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ESRD 10-Year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0.220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0.817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0.2158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621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136.6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8.04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796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Yes</w:t>
            </w:r>
          </w:p>
        </w:tc>
      </w:tr>
    </w:tbl>
    <w:p>
      <w:pPr>
        <w:spacing w:before="120"/>
      </w:pPr>
      <w:r>
        <w:rPr>
          <w:rFonts w:ascii="Times New Roman" w:hAnsi="Times New Roman" w:cs="Times New Roman" w:eastAsia="Times New Roman"/>
          <w:b w:val="0"/>
          <w:i/>
          <w:sz w:val="18"/>
        </w:rPr>
        <w:t>p = number of final predictor parameters. Anticipated C-statistic = the cohort's own optimism-adjusted (bias-corrected, Harrell bootstrap) Logistic Regression AUROC (the paper's designated primary model), per Riley et al.'s recommendation to use an optimism-adjusted C-statistic. Required n = max of three criteria: (1) predictor-effect shrinkage ≤10% loss, (2) ≤0.05 absolute difference between apparent and adjusted Nagelkerke R², (3) intercept estimated to within a 0.05 margin of error. All three flare cohorts are underpowered by these criteria despite meeting the conventional EPV-10 heuristic; both ESRD cohorts are adequately powered by both criteria.</w:t>
      </w:r>
    </w:p>
    <w:sectPr w:rsidR="00FC693F" w:rsidRPr="0006063C" w:rsidSect="00034616"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