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Times New Roman" w:hAnsi="Times New Roman" w:cs="Times New Roman" w:eastAsia="Times New Roman"/>
          <w:b/>
          <w:i w:val="0"/>
          <w:sz w:val="22"/>
        </w:rPr>
        <w:t>Table 2. Calibration performance (Brier score, calibration slope) by model and cohort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041"/>
            <w:vMerge w:val="restart"/>
            <w:tcBorders>
              <w:top w:val="nil" w:sz="18" w:color="000000" w:space="0"/>
              <w:bottom w:val="single" w:sz="8" w:color="000000" w:space="0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Model</w:t>
            </w:r>
          </w:p>
        </w:tc>
        <w:tc>
          <w:tcPr>
            <w:tcW w:type="dxa" w:w="3514"/>
            <w:gridSpan w:val="2"/>
            <w:tcBorders>
              <w:top w:val="single" w:sz="18" w:color="000000" w:space="0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Flare Cohorts</w:t>
            </w:r>
          </w:p>
        </w:tc>
        <w:tc>
          <w:tcPr>
            <w:tcW w:type="dxa" w:w="3514"/>
            <w:gridSpan w:val="2"/>
            <w:tcBorders>
              <w:top w:val="single" w:sz="18" w:color="000000" w:space="0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Kidney Failure (ESRD) Cohorts</w:t>
            </w:r>
          </w:p>
        </w:tc>
      </w:tr>
      <w:tr>
        <w:tc>
          <w:tcPr>
            <w:tcW w:type="dxa" w:w="2041"/>
            <w:vMerge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1757"/>
            <w:tcBorders>
              <w:top w:val="nil"/>
              <w:bottom w:val="single" w:sz="8" w:color="000000" w:space="0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1-Year Flare</w:t>
            </w:r>
          </w:p>
        </w:tc>
        <w:tc>
          <w:tcPr>
            <w:tcW w:type="dxa" w:w="1757"/>
            <w:tcBorders>
              <w:top w:val="nil"/>
              <w:bottom w:val="single" w:sz="8" w:color="000000" w:space="0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5-Year Flare</w:t>
            </w:r>
          </w:p>
        </w:tc>
        <w:tc>
          <w:tcPr>
            <w:tcW w:type="dxa" w:w="1757"/>
            <w:tcBorders>
              <w:top w:val="nil"/>
              <w:bottom w:val="single" w:sz="8" w:color="000000" w:space="0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ESRD 5-Year</w:t>
            </w:r>
          </w:p>
        </w:tc>
        <w:tc>
          <w:tcPr>
            <w:tcW w:type="dxa" w:w="1757"/>
            <w:tcBorders>
              <w:top w:val="nil"/>
              <w:bottom w:val="single" w:sz="8" w:color="000000" w:space="0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ESRD 10-Year</w:t>
            </w:r>
          </w:p>
        </w:tc>
      </w:tr>
      <w:tr>
        <w:tc>
          <w:tcPr>
            <w:tcW w:type="dxa" w:w="2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Logistic Regression</w:t>
            </w:r>
          </w:p>
        </w:tc>
        <w:tc>
          <w:tcPr>
            <w:tcW w:type="dxa" w:w="175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0.220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0.719</w:t>
            </w:r>
          </w:p>
        </w:tc>
        <w:tc>
          <w:tcPr>
            <w:tcW w:type="dxa" w:w="175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0.232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0.669</w:t>
            </w:r>
          </w:p>
        </w:tc>
        <w:tc>
          <w:tcPr>
            <w:tcW w:type="dxa" w:w="175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0.178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0.873</w:t>
            </w:r>
          </w:p>
        </w:tc>
        <w:tc>
          <w:tcPr>
            <w:tcW w:type="dxa" w:w="175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0.167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0.874</w:t>
            </w:r>
          </w:p>
        </w:tc>
      </w:tr>
      <w:tr>
        <w:tc>
          <w:tcPr>
            <w:tcW w:type="dxa" w:w="2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Random Forest</w:t>
            </w:r>
          </w:p>
        </w:tc>
        <w:tc>
          <w:tcPr>
            <w:tcW w:type="dxa" w:w="175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0.211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0.849</w:t>
            </w:r>
          </w:p>
        </w:tc>
        <w:tc>
          <w:tcPr>
            <w:tcW w:type="dxa" w:w="175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0.227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0.827</w:t>
            </w:r>
          </w:p>
        </w:tc>
        <w:tc>
          <w:tcPr>
            <w:tcW w:type="dxa" w:w="175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0.164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1.013</w:t>
            </w:r>
          </w:p>
        </w:tc>
        <w:tc>
          <w:tcPr>
            <w:tcW w:type="dxa" w:w="175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0.139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1.152</w:t>
            </w:r>
          </w:p>
        </w:tc>
      </w:tr>
      <w:tr>
        <w:tc>
          <w:tcPr>
            <w:tcW w:type="dxa" w:w="2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XGBoost</w:t>
            </w:r>
          </w:p>
        </w:tc>
        <w:tc>
          <w:tcPr>
            <w:tcW w:type="dxa" w:w="175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0.224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0.835</w:t>
            </w:r>
          </w:p>
        </w:tc>
        <w:tc>
          <w:tcPr>
            <w:tcW w:type="dxa" w:w="175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0.239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0.705</w:t>
            </w:r>
          </w:p>
        </w:tc>
        <w:tc>
          <w:tcPr>
            <w:tcW w:type="dxa" w:w="175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0.178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1.288</w:t>
            </w:r>
          </w:p>
        </w:tc>
        <w:tc>
          <w:tcPr>
            <w:tcW w:type="dxa" w:w="175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0.155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0.963</w:t>
            </w:r>
          </w:p>
        </w:tc>
      </w:tr>
      <w:tr>
        <w:tc>
          <w:tcPr>
            <w:tcW w:type="dxa" w:w="2041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LightGBM</w:t>
            </w:r>
          </w:p>
        </w:tc>
        <w:tc>
          <w:tcPr>
            <w:tcW w:type="dxa" w:w="175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0.224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0.686</w:t>
            </w:r>
          </w:p>
        </w:tc>
        <w:tc>
          <w:tcPr>
            <w:tcW w:type="dxa" w:w="175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0.229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0.878</w:t>
            </w:r>
          </w:p>
        </w:tc>
        <w:tc>
          <w:tcPr>
            <w:tcW w:type="dxa" w:w="175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0.171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1.053</w:t>
            </w:r>
          </w:p>
        </w:tc>
        <w:tc>
          <w:tcPr>
            <w:tcW w:type="dxa" w:w="175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0.140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0.714</w:t>
            </w:r>
          </w:p>
        </w:tc>
      </w:tr>
      <w:tr>
        <w:tc>
          <w:tcPr>
            <w:tcW w:type="dxa" w:w="2041"/>
            <w:tcBorders>
              <w:top w:val="nil"/>
              <w:bottom w:val="single" w:sz="18" w:color="000000" w:space="0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TabPFN v3 (Prior Labs)</w:t>
            </w:r>
          </w:p>
        </w:tc>
        <w:tc>
          <w:tcPr>
            <w:tcW w:type="dxa" w:w="1757"/>
            <w:tcBorders>
              <w:top w:val="nil"/>
              <w:bottom w:val="single" w:sz="18" w:color="000000" w:space="0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0.166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8"/>
              </w:rPr>
              <w:t>0.747</w:t>
            </w:r>
          </w:p>
        </w:tc>
        <w:tc>
          <w:tcPr>
            <w:tcW w:type="dxa" w:w="1757"/>
            <w:tcBorders>
              <w:top w:val="nil"/>
              <w:bottom w:val="single" w:sz="18" w:color="000000" w:space="0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0.230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8"/>
              </w:rPr>
              <w:t>0.734</w:t>
            </w:r>
          </w:p>
        </w:tc>
        <w:tc>
          <w:tcPr>
            <w:tcW w:type="dxa" w:w="1757"/>
            <w:tcBorders>
              <w:top w:val="nil"/>
              <w:bottom w:val="single" w:sz="18" w:color="000000" w:space="0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0.100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8"/>
              </w:rPr>
              <w:t>0.891</w:t>
            </w:r>
          </w:p>
        </w:tc>
        <w:tc>
          <w:tcPr>
            <w:tcW w:type="dxa" w:w="1757"/>
            <w:tcBorders>
              <w:top w:val="nil"/>
              <w:bottom w:val="single" w:sz="18" w:color="000000" w:space="0"/>
              <w:left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0.122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8"/>
              </w:rPr>
              <w:t>0.904</w:t>
            </w:r>
          </w:p>
        </w:tc>
      </w:tr>
    </w:tbl>
    <w:p>
      <w:pPr>
        <w:spacing w:before="120"/>
      </w:pPr>
      <w:r>
        <w:rPr>
          <w:rFonts w:ascii="Times New Roman" w:hAnsi="Times New Roman" w:cs="Times New Roman" w:eastAsia="Times New Roman"/>
          <w:b w:val="0"/>
          <w:i/>
          <w:sz w:val="18"/>
        </w:rPr>
        <w:t>Bold Brier score = lowest (best) in that column among the four main classifiers. Bold calibration slope = closest to the ideal value of 1.0 in that column among the four main classifiers (a separate criterion from lowest Brier; the two need not point to the same model). TabPFN v3 (italic) is shown for reference and not included in either bold comparison.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