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cs="Times New Roman" w:eastAsia="Times New Roman"/>
          <w:b/>
          <w:i w:val="0"/>
          <w:sz w:val="20"/>
        </w:rPr>
        <w:t xml:space="preserve">Table S1 |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Final predictor sets by cohort.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907"/>
        <w:gridCol w:w="907"/>
        <w:gridCol w:w="907"/>
        <w:gridCol w:w="5443"/>
      </w:tblGrid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18" w:space="0" w:color="000000"/>
              <w:bottom w:val="single" w:sz="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Cohort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18" w:space="0" w:color="000000"/>
              <w:bottom w:val="single" w:sz="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Predictors (n)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18" w:space="0" w:color="000000"/>
              <w:bottom w:val="single" w:sz="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EPV_MAX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18" w:space="0" w:color="000000"/>
              <w:bottom w:val="single" w:sz="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EPV actual</w:t>
            </w:r>
          </w:p>
        </w:tc>
        <w:tc>
          <w:tcPr>
            <w:tcW w:type="dxa" w:w="5443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single" w:sz="18" w:space="0" w:color="000000"/>
              <w:bottom w:val="single" w:sz="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Final predictor set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1-year flare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11.0</w:t>
            </w:r>
          </w:p>
        </w:tc>
        <w:tc>
          <w:tcPr>
            <w:tcW w:type="dxa" w:w="5443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% chronic glomeruli; % glomeruli with necrosis; LN class; % active glomeruli; % glomeruli with crescents; age at biopsy; ethnicity; proteinuria at biopsy (log uPCR); C4 at biopsy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5-year flare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16.6</w:t>
            </w:r>
          </w:p>
        </w:tc>
        <w:tc>
          <w:tcPr>
            <w:tcW w:type="dxa" w:w="5443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% chronic glomeruli; % glomeruli with necrosis; LN class; % active glomeruli; % sclerosed glomeruli; age at biopsy; ethnicity; reason for biopsy; CKD-EPI eGFR; prior cyclophosphamide exposure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Serial biopsy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17.0</w:t>
            </w:r>
          </w:p>
        </w:tc>
        <w:tc>
          <w:tcPr>
            <w:tcW w:type="dxa" w:w="5443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Δ % chronic glomeruli (coefficient +0.291); time between biopsies, months (coefficient −0.042)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ESRD 5-year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22.4</w:t>
            </w:r>
          </w:p>
        </w:tc>
        <w:tc>
          <w:tcPr>
            <w:tcW w:type="dxa" w:w="5443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nil" w:sz="0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Creatinine at biopsy; %IFTA; CKD-EPI eGFR; % chronic glomeruli; subepithelial deposit category</w:t>
            </w:r>
          </w:p>
        </w:tc>
      </w:tr>
      <w:tr>
        <w:trPr>
          <w:cantSplit/>
        </w:trPr>
        <w:tc>
          <w:tcPr>
            <w:tcW w:type="dxa" w:w="1474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single" w:sz="1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ESRD 10-year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single" w:sz="1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single" w:sz="1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907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single" w:sz="1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10.3</w:t>
            </w:r>
          </w:p>
        </w:tc>
        <w:tc>
          <w:tcPr>
            <w:tcW w:type="dxa" w:w="5443"/>
            <w:tcMar>
              <w:top w:w="40" w:type="dxa"/>
              <w:bottom w:w="40" w:type="dxa"/>
              <w:left w:w="100" w:type="dxa"/>
              <w:right w:w="100" w:type="dxa"/>
            </w:tcMar>
            <w:tcBorders>
              <w:top w:val="nil" w:sz="0" w:space="0" w:color="000000"/>
              <w:bottom w:val="single" w:sz="18" w:space="0" w:color="000000"/>
              <w:left w:val="nil" w:sz="0" w:space="0" w:color="000000"/>
              <w:right w:val="nil" w:sz="0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Age at biopsy; %IFTA; creatinine at biopsy; % chronic glomeruli; crescents; CKD-EPI eGFR; thrombotic microangiopathy; LN class; C3 at biopsy; C4 low; prior cyclophosphamide; gender; subepithelial deposit category; capillary wall IgM; number of globally sclerosed glomeruli; biopsy number; number of glomeruli with crescents</w:t>
            </w:r>
          </w:p>
        </w:tc>
      </w:tr>
    </w:tbl>
    <w:p>
      <w:pPr>
        <w:spacing w:before="120"/>
      </w:pPr>
      <w:r>
        <w:rPr>
          <w:rFonts w:ascii="Times New Roman" w:hAnsi="Times New Roman" w:cs="Times New Roman" w:eastAsia="Times New Roman"/>
          <w:b w:val="0"/>
          <w:i/>
          <w:sz w:val="16"/>
        </w:rPr>
        <w:t>EPV_MAX = ⌊events/10⌋, the hard ceiling imposed within the LASSO step; EPV actual = events divided by the number of predictors finally retained. The serial-biopsy model retained two predictors despite a cap of four, reflecting a discontinuity in the LASSO regularisation path rather than a deliberate constraint (Supplementary Methods S2). ESRD 10-year selected exactly at its cap; all other cohorts selected below it. eGFR calculated by CKD-EPI without ethnicity coefficient. ESRD, end-stage renal disease; EPV, events per variable; IFTA, interstitial fibrosis and tubular atrophy; uPCR, urine protein–creatinine ratio.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