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Times New Roman" w:hAnsi="Times New Roman" w:cs="Times New Roman" w:eastAsia="Times New Roman"/>
          <w:b/>
          <w:i w:val="0"/>
          <w:sz w:val="22"/>
        </w:rPr>
        <w:t>Table S3. Post-hoc minimum sample size by cohort (pmsampsize).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474"/>
        <w:gridCol w:w="680"/>
        <w:gridCol w:w="1020"/>
        <w:gridCol w:w="1134"/>
        <w:gridCol w:w="1020"/>
        <w:gridCol w:w="907"/>
        <w:gridCol w:w="907"/>
        <w:gridCol w:w="1020"/>
      </w:tblGrid>
      <w:tr>
        <w:tc>
          <w:tcPr>
            <w:tcW w:type="dxa" w:w="1474"/>
            <w:tcBorders>
              <w:top w:val="single" w:sz="18" w:color="000000" w:space="0"/>
              <w:bottom w:val="single" w:sz="8" w:color="000000" w:space="0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Cohort</w:t>
            </w:r>
          </w:p>
        </w:tc>
        <w:tc>
          <w:tcPr>
            <w:tcW w:type="dxa" w:w="680"/>
            <w:tcBorders>
              <w:top w:val="single" w:sz="18" w:color="000000" w:space="0"/>
              <w:bottom w:val="single" w:sz="8" w:color="000000" w:space="0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p</w:t>
            </w:r>
          </w:p>
        </w:tc>
        <w:tc>
          <w:tcPr>
            <w:tcW w:type="dxa" w:w="1020"/>
            <w:tcBorders>
              <w:top w:val="single" w:sz="18" w:color="000000" w:space="0"/>
              <w:bottom w:val="single" w:sz="8" w:color="000000" w:space="0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Prevalence</w:t>
            </w:r>
          </w:p>
        </w:tc>
        <w:tc>
          <w:tcPr>
            <w:tcW w:type="dxa" w:w="1134"/>
            <w:tcBorders>
              <w:top w:val="single" w:sz="18" w:color="000000" w:space="0"/>
              <w:bottom w:val="single" w:sz="8" w:color="000000" w:space="0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C-stat</w:t>
              <w:br/>
              <w:t>(LR, BC)</w:t>
            </w:r>
          </w:p>
        </w:tc>
        <w:tc>
          <w:tcPr>
            <w:tcW w:type="dxa" w:w="1020"/>
            <w:tcBorders>
              <w:top w:val="single" w:sz="18" w:color="000000" w:space="0"/>
              <w:bottom w:val="single" w:sz="8" w:color="000000" w:space="0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n</w:t>
              <w:br/>
              <w:t>Required</w:t>
            </w:r>
          </w:p>
        </w:tc>
        <w:tc>
          <w:tcPr>
            <w:tcW w:type="dxa" w:w="907"/>
            <w:tcBorders>
              <w:top w:val="single" w:sz="18" w:color="000000" w:space="0"/>
              <w:bottom w:val="single" w:sz="8" w:color="000000" w:space="0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n</w:t>
              <w:br/>
              <w:t>Actual</w:t>
            </w:r>
          </w:p>
        </w:tc>
        <w:tc>
          <w:tcPr>
            <w:tcW w:type="dxa" w:w="907"/>
            <w:tcBorders>
              <w:top w:val="single" w:sz="18" w:color="000000" w:space="0"/>
              <w:bottom w:val="single" w:sz="8" w:color="000000" w:space="0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EPV</w:t>
              <w:br/>
              <w:t>Actual</w:t>
            </w:r>
          </w:p>
        </w:tc>
        <w:tc>
          <w:tcPr>
            <w:tcW w:type="dxa" w:w="1020"/>
            <w:tcBorders>
              <w:top w:val="single" w:sz="18" w:color="000000" w:space="0"/>
              <w:bottom w:val="single" w:sz="8" w:color="000000" w:space="0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Adequate?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1-Year flare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0.230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0.709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795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430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No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5-Year flare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0.466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0.670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972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16.60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No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Serial biopsy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0.486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0.660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No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ESRD 5-Year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0.141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0.797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796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22.40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Yes</w:t>
            </w:r>
          </w:p>
        </w:tc>
      </w:tr>
      <w:tr>
        <w:tc>
          <w:tcPr>
            <w:tcW w:type="dxa" w:w="1474"/>
            <w:tcBorders>
              <w:top w:val="nil"/>
              <w:bottom w:val="single" w:sz="18" w:color="000000" w:space="0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ESRD 10-Year</w:t>
            </w:r>
          </w:p>
        </w:tc>
        <w:tc>
          <w:tcPr>
            <w:tcW w:type="dxa" w:w="680"/>
            <w:tcBorders>
              <w:top w:val="nil"/>
              <w:bottom w:val="single" w:sz="18" w:color="000000" w:space="0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020"/>
            <w:tcBorders>
              <w:top w:val="nil"/>
              <w:bottom w:val="single" w:sz="18" w:color="000000" w:space="0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0.220</w:t>
            </w:r>
          </w:p>
        </w:tc>
        <w:tc>
          <w:tcPr>
            <w:tcW w:type="dxa" w:w="1134"/>
            <w:tcBorders>
              <w:top w:val="nil"/>
              <w:bottom w:val="single" w:sz="18" w:color="000000" w:space="0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0.817</w:t>
            </w:r>
          </w:p>
        </w:tc>
        <w:tc>
          <w:tcPr>
            <w:tcW w:type="dxa" w:w="1020"/>
            <w:tcBorders>
              <w:top w:val="nil"/>
              <w:bottom w:val="single" w:sz="18" w:color="000000" w:space="0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621</w:t>
            </w:r>
          </w:p>
        </w:tc>
        <w:tc>
          <w:tcPr>
            <w:tcW w:type="dxa" w:w="907"/>
            <w:tcBorders>
              <w:top w:val="nil"/>
              <w:bottom w:val="single" w:sz="18" w:color="000000" w:space="0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796</w:t>
            </w:r>
          </w:p>
        </w:tc>
        <w:tc>
          <w:tcPr>
            <w:tcW w:type="dxa" w:w="907"/>
            <w:tcBorders>
              <w:top w:val="nil"/>
              <w:bottom w:val="single" w:sz="18" w:color="000000" w:space="0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10.29</w:t>
            </w:r>
          </w:p>
        </w:tc>
        <w:tc>
          <w:tcPr>
            <w:tcW w:type="dxa" w:w="1020"/>
            <w:tcBorders>
              <w:top w:val="nil"/>
              <w:bottom w:val="single" w:sz="18" w:color="000000" w:space="0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Yes</w:t>
            </w:r>
          </w:p>
        </w:tc>
      </w:tr>
    </w:tbl>
    <w:p>
      <w:pPr>
        <w:spacing w:before="120"/>
      </w:pPr>
      <w:r>
        <w:rPr>
          <w:rFonts w:ascii="Times New Roman" w:hAnsi="Times New Roman" w:cs="Times New Roman" w:eastAsia="Times New Roman"/>
          <w:b w:val="0"/>
          <w:i/>
          <w:sz w:val="18"/>
        </w:rPr>
        <w:t>p = number of final predictor parameters. Anticipated C-statistic = the cohort's own optimism-adjusted (bias-corrected, Harrell bootstrap) Logistic Regression AUROC. Required n per Riley et al. 2020 (BMJ 368:m441): max of predictor-effect shrinkage (≤10% loss), Nagelkerke R² difference (≤0.05), and intercept precision (0.05 margin) criteria. See Table S5 for the full per-criterion derivation (Cox-Snell R², events required, EPP required, events actual).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