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S4. Pairwise DeLong's test results by cohort (Holm-corrected p-values).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474"/>
        <w:gridCol w:w="1928"/>
        <w:gridCol w:w="1928"/>
        <w:gridCol w:w="1134"/>
        <w:gridCol w:w="1134"/>
        <w:gridCol w:w="1077"/>
        <w:gridCol w:w="1077"/>
        <w:gridCol w:w="1247"/>
      </w:tblGrid>
      <w:tr>
        <w:tc>
          <w:tcPr>
            <w:tcW w:type="dxa" w:w="147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28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Model A</w:t>
            </w:r>
          </w:p>
        </w:tc>
        <w:tc>
          <w:tcPr>
            <w:tcW w:type="dxa" w:w="1928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Model B</w:t>
            </w:r>
          </w:p>
        </w:tc>
        <w:tc>
          <w:tcPr>
            <w:tcW w:type="dxa" w:w="113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AUROC A</w:t>
            </w:r>
          </w:p>
        </w:tc>
        <w:tc>
          <w:tcPr>
            <w:tcW w:type="dxa" w:w="113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AUROC B</w:t>
            </w:r>
          </w:p>
        </w:tc>
        <w:tc>
          <w:tcPr>
            <w:tcW w:type="dxa" w:w="1077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(raw)</w:t>
            </w:r>
          </w:p>
        </w:tc>
        <w:tc>
          <w:tcPr>
            <w:tcW w:type="dxa" w:w="1077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(Holm)</w:t>
            </w:r>
          </w:p>
        </w:tc>
        <w:tc>
          <w:tcPr>
            <w:tcW w:type="dxa" w:w="1247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Significant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0.704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0.685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0.225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0.704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0.669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0.053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0.704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0.658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0.685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0.669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0.326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Random Forest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0.685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0.658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0.001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0.006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0.669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0.658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0.438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0.677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0.471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0.973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0.681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0.677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0.177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0.677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0.681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0.736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0.681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Serial Biopsy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0.640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0.559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0.043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Serial Biopsy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0.640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0.582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0.201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0.753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Serial Biopsy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0.640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0.311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Serial Biopsy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0.559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0.582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0.579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Serial Biopsy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0.559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0.522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Serial Biopsy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0.582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0.188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0.753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0.780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0.134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0.786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0.284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0.853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0.788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0.576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0.780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0.786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0.040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0.239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0.780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0.788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0.212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0.850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5-Year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0.786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0.788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0.762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10-Year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0.607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10-Year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0.820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10-Year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0.661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10-Year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0.820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0.522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10-Year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0.816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0.992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10-Year</w:t>
            </w:r>
          </w:p>
        </w:tc>
        <w:tc>
          <w:tcPr>
            <w:tcW w:type="dxa" w:w="1928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928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113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0.820</w:t>
            </w:r>
          </w:p>
        </w:tc>
        <w:tc>
          <w:tcPr>
            <w:tcW w:type="dxa" w:w="113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0.816</w:t>
            </w:r>
          </w:p>
        </w:tc>
        <w:tc>
          <w:tcPr>
            <w:tcW w:type="dxa" w:w="107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0.736</w:t>
            </w:r>
          </w:p>
        </w:tc>
        <w:tc>
          <w:tcPr>
            <w:tcW w:type="dxa" w:w="107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24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before="120"/>
      </w:pPr>
      <w:r>
        <w:rPr>
          <w:rFonts w:ascii="Times New Roman" w:hAnsi="Times New Roman" w:cs="Times New Roman" w:eastAsia="Times New Roman"/>
          <w:b w:val="0"/>
          <w:i/>
          <w:sz w:val="18"/>
        </w:rPr>
        <w:t>Bonferroni-Holm correction applied across the 6 pairwise comparisons within each cohort (30 comparisons total across 5 cohorts). One significant result: Random Forest significantly outperformed LightGBM in the 1-Year cohort (p=0.001 raw, p=0.006 Holm-corrected), bolded above. AUROC values are pooled out-of-fold (OOF) predictions from 5x10-fold repeated stratified CV (5x5-fold for Serial Biopsy).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