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S6. Selected hyperparameter values by cohort and model.</w:t>
      </w:r>
    </w:p>
    <w:p>
      <w:pPr>
        <w:spacing w:after="200"/>
      </w:pPr>
      <w:r>
        <w:rPr>
          <w:rFonts w:ascii="Times New Roman" w:hAnsi="Times New Roman" w:cs="Times New Roman" w:eastAsia="Times New Roman"/>
          <w:b w:val="0"/>
          <w:i/>
          <w:sz w:val="18"/>
        </w:rPr>
        <w:t>Logistic Regression is untuned throughout (C=1.0, class_weight='balanced') and is not shown. Random Forest, XGBoost, and LightGBM were tuned via RandomizedSearchCV (scoring=AUROC).</w:t>
      </w:r>
    </w:p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1"/>
        </w:rPr>
        <w:t>(a) Random Forest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701"/>
        <w:gridCol w:w="1304"/>
        <w:gridCol w:w="1304"/>
        <w:gridCol w:w="1304"/>
        <w:gridCol w:w="1304"/>
      </w:tblGrid>
      <w:tr>
        <w:tc>
          <w:tcPr>
            <w:tcW w:type="dxa" w:w="1701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Cohort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n_estimators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max_depth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min_samples_</w:t>
              <w:br/>
              <w:t>leaf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max_features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sqrt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Serial Biopsy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sqrt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5-Year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</w:tr>
      <w:tr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10-Year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300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sqrt</w:t>
            </w:r>
          </w:p>
        </w:tc>
      </w:tr>
    </w:tbl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1"/>
        </w:rPr>
        <w:t>(b) XGBoost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701"/>
        <w:gridCol w:w="1304"/>
        <w:gridCol w:w="1304"/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701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Cohort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n_estimators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max_depth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learning_rate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subsample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colsample_</w:t>
              <w:br/>
              <w:t>bytree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min_child_</w:t>
              <w:br/>
              <w:t>weight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reg_alpha (L1)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reg_lambda (L2)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0.6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Serial Biopsy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5-Year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0.6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10-Year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0.05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0.6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</w:tr>
    </w:tbl>
    <w:p>
      <w:pPr>
        <w:spacing w:before="160" w:after="80"/>
      </w:pPr>
      <w:r>
        <w:rPr>
          <w:rFonts w:ascii="Times New Roman" w:hAnsi="Times New Roman" w:cs="Times New Roman" w:eastAsia="Times New Roman"/>
          <w:b/>
          <w:i w:val="0"/>
          <w:sz w:val="21"/>
        </w:rPr>
        <w:t>(c) LightGBM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701"/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701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Cohort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n_estimators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max_depth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learning_rate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subsample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num_leaves</w:t>
            </w:r>
          </w:p>
        </w:tc>
        <w:tc>
          <w:tcPr>
            <w:tcW w:type="dxa" w:w="1304"/>
            <w:tcBorders>
              <w:top w:val="single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min_child_</w:t>
              <w:br/>
              <w:t>samples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0.8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5-Year Flare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Serial Biopsy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5-Year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300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</w:t>
            </w:r>
          </w:p>
        </w:tc>
        <w:tc>
          <w:tcPr>
            <w:tcW w:type="dxa" w:w="130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</w:t>
            </w:r>
          </w:p>
        </w:tc>
      </w:tr>
      <w:tr>
        <w:tc>
          <w:tcPr>
            <w:tcW w:type="dxa" w:w="170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ESRD 10-Year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300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0.05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</w:t>
            </w:r>
          </w:p>
        </w:tc>
        <w:tc>
          <w:tcPr>
            <w:tcW w:type="dxa" w:w="130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10</w:t>
            </w:r>
          </w:p>
        </w:tc>
      </w:tr>
    </w:tbl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