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Lupus Nephritis Prediction Pipeline</w:t>
      </w:r>
    </w:p>
    <w:p>
      <w:pPr>
        <w:jc w:val="center"/>
      </w:pPr>
      <w:r>
        <w:rPr>
          <w:color w:val="4472C4"/>
          <w:sz w:val="26"/>
        </w:rPr>
        <w:t>Statistical Analysis &amp; Machine Learning Methods</w:t>
        <w:br/>
        <w:t>1-Year Flare · 5-Year Flare · Serial Biopsy · ESRD Prediction · TabPFN Benchmark</w:t>
      </w:r>
    </w:p>
    <w:p/>
    <w:p>
      <w:pPr>
        <w:jc w:val="center"/>
      </w:pPr>
      <w:r>
        <w:rPr>
          <w:sz w:val="22"/>
        </w:rPr>
        <w:t>Generated: 05 August 2026</w:t>
      </w:r>
    </w:p>
    <w:p>
      <w:r>
        <w:br w:type="page"/>
      </w:r>
    </w:p>
    <w:p>
      <w:pPr>
        <w:pStyle w:val="Heading1"/>
        <w:spacing w:before="280" w:after="80"/>
      </w:pPr>
      <w:r>
        <w:t>1. Project Overview</w:t>
      </w:r>
    </w:p>
    <w:p>
      <w:pPr>
        <w:spacing w:after="120"/>
      </w:pPr>
      <w:r>
        <w:t>This document describes five parallel machine learning prediction pipelines developed from a single lupus nephritis (LN) biopsy database (1,070 biopsy episodes, 207 variables): (i) 1-year flare prediction, (ii) 5-year flare prediction, (iii) a serial biopsy sub-analysis incorporating longitudinal change between biopsies, (iv) 5-year end-stage renal disease (ESRD) prediction, and (v) 10-year ESRD prediction. All flare analyses share the same modelling framework — standardised preprocessing, Multiple Imputation by Chained Equations (MICE), a multi-step feature selection pipeline, four machine learning classifiers, repeated stratified cross-validation, Harrell optimism-corrected bootstrap, SHAP explainability, and pairwise DeLong's test for model comparison. The ESRD analyses follow the same modelling and evaluation framework — the same 6-step feature selection pipeline (leakage removal, dominant-binary, low-variance, high-correlation, VIF, LASSO with EPV-10 cap), MICE imputation (done as a separate pre-step before modelling), and Harrell bootstrap are applied. An additional TabPFN v3 in-context learning benchmark was run on all four datasets (Section 10).</w:t>
      </w:r>
    </w:p>
    <w:p>
      <w:pPr>
        <w:spacing w:after="120"/>
      </w:pPr>
      <w:r>
        <w:t>The primary outcome in flare analyses is binary (flare/no flare). The ESRD outcome is a composite binary endpoint: RRT (dialysis or transplant, codes 3/5) or creatinine doubling (code 2). Class imbalance was addressed in all four models. Feature selection was constrained by the Events Per Variable (EPV-10) rule appropriate to each cohort's event count.</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268"/>
            <w:shd w:val="clear" w:color="auto" w:fill="BDD7EE"/>
          </w:tcPr>
          <w:p>
            <w:r>
              <w:rPr>
                <w:b/>
                <w:sz w:val="20"/>
              </w:rPr>
              <w:t>Analysis</w:t>
            </w:r>
          </w:p>
        </w:tc>
        <w:tc>
          <w:tcPr>
            <w:tcW w:type="dxa" w:w="850"/>
            <w:shd w:val="clear" w:color="auto" w:fill="BDD7EE"/>
          </w:tcPr>
          <w:p>
            <w:r>
              <w:rPr>
                <w:b/>
                <w:sz w:val="20"/>
              </w:rPr>
              <w:t>n</w:t>
            </w:r>
          </w:p>
        </w:tc>
        <w:tc>
          <w:tcPr>
            <w:tcW w:type="dxa" w:w="1134"/>
            <w:shd w:val="clear" w:color="auto" w:fill="BDD7EE"/>
          </w:tcPr>
          <w:p>
            <w:r>
              <w:rPr>
                <w:b/>
                <w:sz w:val="20"/>
              </w:rPr>
              <w:t>Events</w:t>
            </w:r>
          </w:p>
        </w:tc>
        <w:tc>
          <w:tcPr>
            <w:tcW w:type="dxa" w:w="1417"/>
            <w:shd w:val="clear" w:color="auto" w:fill="BDD7EE"/>
          </w:tcPr>
          <w:p>
            <w:r>
              <w:rPr>
                <w:b/>
                <w:sz w:val="20"/>
              </w:rPr>
              <w:t>Event rate</w:t>
            </w:r>
          </w:p>
        </w:tc>
        <w:tc>
          <w:tcPr>
            <w:tcW w:type="dxa" w:w="1984"/>
            <w:shd w:val="clear" w:color="auto" w:fill="BDD7EE"/>
          </w:tcPr>
          <w:p>
            <w:r>
              <w:rPr>
                <w:b/>
                <w:sz w:val="20"/>
              </w:rPr>
              <w:t>Final predictors</w:t>
            </w:r>
          </w:p>
        </w:tc>
        <w:tc>
          <w:tcPr>
            <w:tcW w:type="dxa" w:w="1417"/>
            <w:shd w:val="clear" w:color="auto" w:fill="BDD7EE"/>
          </w:tcPr>
          <w:p>
            <w:r>
              <w:rPr>
                <w:b/>
                <w:sz w:val="20"/>
              </w:rPr>
              <w:t>CV scheme</w:t>
            </w:r>
          </w:p>
        </w:tc>
      </w:tr>
      <w:tr>
        <w:tc>
          <w:tcPr>
            <w:tcW w:type="dxa" w:w="2268"/>
          </w:tcPr>
          <w:p>
            <w:r>
              <w:rPr>
                <w:sz w:val="20"/>
              </w:rPr>
              <w:t>1-Year flare</w:t>
            </w:r>
          </w:p>
        </w:tc>
        <w:tc>
          <w:tcPr>
            <w:tcW w:type="dxa" w:w="850"/>
          </w:tcPr>
          <w:p>
            <w:r>
              <w:rPr>
                <w:sz w:val="20"/>
              </w:rPr>
              <w:t>430</w:t>
            </w:r>
          </w:p>
        </w:tc>
        <w:tc>
          <w:tcPr>
            <w:tcW w:type="dxa" w:w="1134"/>
          </w:tcPr>
          <w:p>
            <w:r>
              <w:rPr>
                <w:sz w:val="20"/>
              </w:rPr>
              <w:t>99</w:t>
            </w:r>
          </w:p>
        </w:tc>
        <w:tc>
          <w:tcPr>
            <w:tcW w:type="dxa" w:w="1417"/>
          </w:tcPr>
          <w:p>
            <w:r>
              <w:rPr>
                <w:sz w:val="20"/>
              </w:rPr>
              <w:t>23.0%</w:t>
            </w:r>
          </w:p>
        </w:tc>
        <w:tc>
          <w:tcPr>
            <w:tcW w:type="dxa" w:w="1984"/>
          </w:tcPr>
          <w:p>
            <w:r>
              <w:rPr>
                <w:sz w:val="20"/>
              </w:rPr>
              <w:t>9</w:t>
            </w:r>
          </w:p>
        </w:tc>
        <w:tc>
          <w:tcPr>
            <w:tcW w:type="dxa" w:w="1417"/>
          </w:tcPr>
          <w:p>
            <w:r>
              <w:rPr>
                <w:sz w:val="20"/>
              </w:rPr>
              <w:t>5×10-fold</w:t>
            </w:r>
          </w:p>
        </w:tc>
      </w:tr>
      <w:tr>
        <w:tc>
          <w:tcPr>
            <w:tcW w:type="dxa" w:w="2268"/>
            <w:shd w:val="clear" w:color="auto" w:fill="F2F2F2"/>
          </w:tcPr>
          <w:p>
            <w:r>
              <w:rPr>
                <w:sz w:val="20"/>
              </w:rPr>
              <w:t>5-Year flare</w:t>
            </w:r>
          </w:p>
        </w:tc>
        <w:tc>
          <w:tcPr>
            <w:tcW w:type="dxa" w:w="850"/>
            <w:shd w:val="clear" w:color="auto" w:fill="F2F2F2"/>
          </w:tcPr>
          <w:p>
            <w:r>
              <w:rPr>
                <w:sz w:val="20"/>
              </w:rPr>
              <w:t>356</w:t>
            </w:r>
          </w:p>
        </w:tc>
        <w:tc>
          <w:tcPr>
            <w:tcW w:type="dxa" w:w="1134"/>
            <w:shd w:val="clear" w:color="auto" w:fill="F2F2F2"/>
          </w:tcPr>
          <w:p>
            <w:r>
              <w:rPr>
                <w:sz w:val="20"/>
              </w:rPr>
              <w:t>166</w:t>
            </w:r>
          </w:p>
        </w:tc>
        <w:tc>
          <w:tcPr>
            <w:tcW w:type="dxa" w:w="1417"/>
            <w:shd w:val="clear" w:color="auto" w:fill="F2F2F2"/>
          </w:tcPr>
          <w:p>
            <w:r>
              <w:rPr>
                <w:sz w:val="20"/>
              </w:rPr>
              <w:t>46.6%</w:t>
            </w:r>
          </w:p>
        </w:tc>
        <w:tc>
          <w:tcPr>
            <w:tcW w:type="dxa" w:w="1984"/>
            <w:shd w:val="clear" w:color="auto" w:fill="F2F2F2"/>
          </w:tcPr>
          <w:p>
            <w:r>
              <w:rPr>
                <w:sz w:val="20"/>
              </w:rPr>
              <w:t>10</w:t>
            </w:r>
          </w:p>
        </w:tc>
        <w:tc>
          <w:tcPr>
            <w:tcW w:type="dxa" w:w="1417"/>
            <w:shd w:val="clear" w:color="auto" w:fill="F2F2F2"/>
          </w:tcPr>
          <w:p>
            <w:r>
              <w:rPr>
                <w:sz w:val="20"/>
              </w:rPr>
              <w:t>5×10-fold</w:t>
            </w:r>
          </w:p>
        </w:tc>
      </w:tr>
      <w:tr>
        <w:tc>
          <w:tcPr>
            <w:tcW w:type="dxa" w:w="2268"/>
          </w:tcPr>
          <w:p>
            <w:r>
              <w:rPr>
                <w:sz w:val="20"/>
              </w:rPr>
              <w:t>Serial biopsy (5-yr)</w:t>
            </w:r>
          </w:p>
        </w:tc>
        <w:tc>
          <w:tcPr>
            <w:tcW w:type="dxa" w:w="850"/>
          </w:tcPr>
          <w:p>
            <w:r>
              <w:rPr>
                <w:sz w:val="20"/>
              </w:rPr>
              <w:t>70</w:t>
            </w:r>
          </w:p>
        </w:tc>
        <w:tc>
          <w:tcPr>
            <w:tcW w:type="dxa" w:w="1134"/>
          </w:tcPr>
          <w:p>
            <w:r>
              <w:rPr>
                <w:sz w:val="20"/>
              </w:rPr>
              <w:t>34</w:t>
            </w:r>
          </w:p>
        </w:tc>
        <w:tc>
          <w:tcPr>
            <w:tcW w:type="dxa" w:w="1417"/>
          </w:tcPr>
          <w:p>
            <w:r>
              <w:rPr>
                <w:sz w:val="20"/>
              </w:rPr>
              <w:t>48.6%</w:t>
            </w:r>
          </w:p>
        </w:tc>
        <w:tc>
          <w:tcPr>
            <w:tcW w:type="dxa" w:w="1984"/>
          </w:tcPr>
          <w:p>
            <w:r>
              <w:rPr>
                <w:sz w:val="20"/>
              </w:rPr>
              <w:t>2</w:t>
            </w:r>
          </w:p>
        </w:tc>
        <w:tc>
          <w:tcPr>
            <w:tcW w:type="dxa" w:w="1417"/>
          </w:tcPr>
          <w:p>
            <w:r>
              <w:rPr>
                <w:sz w:val="20"/>
              </w:rPr>
              <w:t>5×5-fold</w:t>
            </w:r>
          </w:p>
        </w:tc>
      </w:tr>
      <w:tr>
        <w:tc>
          <w:tcPr>
            <w:tcW w:type="dxa" w:w="2268"/>
            <w:shd w:val="clear" w:color="auto" w:fill="F2F2F2"/>
          </w:tcPr>
          <w:p>
            <w:r>
              <w:rPr>
                <w:sz w:val="20"/>
              </w:rPr>
              <w:t>ESRD 5-year</w:t>
            </w:r>
          </w:p>
        </w:tc>
        <w:tc>
          <w:tcPr>
            <w:tcW w:type="dxa" w:w="850"/>
            <w:shd w:val="clear" w:color="auto" w:fill="F2F2F2"/>
          </w:tcPr>
          <w:p>
            <w:r>
              <w:rPr>
                <w:sz w:val="20"/>
              </w:rPr>
              <w:t>796</w:t>
            </w:r>
          </w:p>
        </w:tc>
        <w:tc>
          <w:tcPr>
            <w:tcW w:type="dxa" w:w="1134"/>
            <w:shd w:val="clear" w:color="auto" w:fill="F2F2F2"/>
          </w:tcPr>
          <w:p>
            <w:r>
              <w:rPr>
                <w:sz w:val="20"/>
              </w:rPr>
              <w:t>112</w:t>
            </w:r>
          </w:p>
        </w:tc>
        <w:tc>
          <w:tcPr>
            <w:tcW w:type="dxa" w:w="1417"/>
            <w:shd w:val="clear" w:color="auto" w:fill="F2F2F2"/>
          </w:tcPr>
          <w:p>
            <w:r>
              <w:rPr>
                <w:sz w:val="20"/>
              </w:rPr>
              <w:t>14.1%</w:t>
            </w:r>
          </w:p>
        </w:tc>
        <w:tc>
          <w:tcPr>
            <w:tcW w:type="dxa" w:w="1984"/>
            <w:shd w:val="clear" w:color="auto" w:fill="F2F2F2"/>
          </w:tcPr>
          <w:p>
            <w:r>
              <w:rPr>
                <w:sz w:val="20"/>
              </w:rPr>
              <w:t>5</w:t>
            </w:r>
          </w:p>
        </w:tc>
        <w:tc>
          <w:tcPr>
            <w:tcW w:type="dxa" w:w="1417"/>
            <w:shd w:val="clear" w:color="auto" w:fill="F2F2F2"/>
          </w:tcPr>
          <w:p>
            <w:r>
              <w:rPr>
                <w:sz w:val="20"/>
              </w:rPr>
              <w:t>5×10-fold</w:t>
            </w:r>
          </w:p>
        </w:tc>
      </w:tr>
      <w:tr>
        <w:tc>
          <w:tcPr>
            <w:tcW w:type="dxa" w:w="2268"/>
          </w:tcPr>
          <w:p>
            <w:r>
              <w:rPr>
                <w:sz w:val="20"/>
              </w:rPr>
              <w:t>ESRD 10-year</w:t>
            </w:r>
          </w:p>
        </w:tc>
        <w:tc>
          <w:tcPr>
            <w:tcW w:type="dxa" w:w="850"/>
          </w:tcPr>
          <w:p>
            <w:r>
              <w:rPr>
                <w:sz w:val="20"/>
              </w:rPr>
              <w:t>796</w:t>
            </w:r>
          </w:p>
        </w:tc>
        <w:tc>
          <w:tcPr>
            <w:tcW w:type="dxa" w:w="1134"/>
          </w:tcPr>
          <w:p>
            <w:r>
              <w:rPr>
                <w:sz w:val="20"/>
              </w:rPr>
              <w:t>175</w:t>
            </w:r>
          </w:p>
        </w:tc>
        <w:tc>
          <w:tcPr>
            <w:tcW w:type="dxa" w:w="1417"/>
          </w:tcPr>
          <w:p>
            <w:r>
              <w:rPr>
                <w:sz w:val="20"/>
              </w:rPr>
              <w:t>22.0%</w:t>
            </w:r>
          </w:p>
        </w:tc>
        <w:tc>
          <w:tcPr>
            <w:tcW w:type="dxa" w:w="1984"/>
          </w:tcPr>
          <w:p>
            <w:r>
              <w:rPr>
                <w:sz w:val="20"/>
              </w:rPr>
              <w:t>17</w:t>
            </w:r>
          </w:p>
        </w:tc>
        <w:tc>
          <w:tcPr>
            <w:tcW w:type="dxa" w:w="1417"/>
          </w:tcPr>
          <w:p>
            <w:r>
              <w:rPr>
                <w:sz w:val="20"/>
              </w:rPr>
              <w:t>5×10-fold</w:t>
            </w:r>
          </w:p>
        </w:tc>
      </w:tr>
    </w:tbl>
    <w:p/>
    <w:p>
      <w:pPr>
        <w:pStyle w:val="Heading1"/>
        <w:spacing w:before="280" w:after="80"/>
      </w:pPr>
      <w:r>
        <w:t>2. Data Preparation and Cohort Filtering</w:t>
      </w:r>
    </w:p>
    <w:p>
      <w:pPr>
        <w:pStyle w:val="Heading2"/>
        <w:spacing w:before="160" w:after="80"/>
      </w:pPr>
      <w:r>
        <w:t>2.1 Source Data</w:t>
      </w:r>
    </w:p>
    <w:p>
      <w:pPr>
        <w:spacing w:after="120"/>
      </w:pPr>
      <w:r>
        <w:t>The source file (Data/Raw/data_lupus.xlsx) contains 1,070 biopsy episodes across 207 variables, including demographic, histopathological, serological, and treatment data. Each row represents a single biopsy episode. Some patients contributed more than one row (serial biopsies). No explicit patient identifier was present in the dataset.</w:t>
      </w:r>
    </w:p>
    <w:p>
      <w:pPr>
        <w:pStyle w:val="Heading2"/>
        <w:spacing w:before="160" w:after="80"/>
      </w:pPr>
      <w:r>
        <w:t>2.2 1-Year Flare Cohort  (src/1_year/01_data_prep_1yr.py)</w:t>
      </w:r>
    </w:p>
    <w:p>
      <w:pPr>
        <w:spacing w:after="120"/>
      </w:pPr>
      <w:r>
        <w:t>The 1-year flare outcome column was identified by keyword search and coerced to numeric. Biopsy episodes were excluded under two criteria:</w:t>
      </w:r>
    </w:p>
    <w:p>
      <w:pPr>
        <w:pStyle w:val="ListBullet"/>
        <w:spacing w:after="60"/>
        <w:ind w:left="340"/>
      </w:pPr>
      <w:r>
        <w:t>Non-responders (NR, coded 1; technically partial response but NR pattern, coded 2): 177 excluded. Flare is only a meaningful outcome in patients who first achieved a response.</w:t>
      </w:r>
    </w:p>
    <w:p>
      <w:pPr>
        <w:pStyle w:val="ListBullet"/>
        <w:spacing w:after="60"/>
        <w:ind w:left="340"/>
      </w:pPr>
      <w:r>
        <w:t>Missing or unusable 1-year outcome (inadequate follow-up): 463 excluded.</w:t>
      </w:r>
    </w:p>
    <w:p>
      <w:pPr>
        <w:spacing w:after="120"/>
      </w:pPr>
      <w:r>
        <w:t>The resulting cohort comprised 430 biopsy episodes (99 flare events, 331 non-events; 23.0% event rate). Saved as lupus_1yr_flare_dataset.xlsx.</w:t>
      </w:r>
    </w:p>
    <w:p>
      <w:pPr>
        <w:pStyle w:val="Heading2"/>
        <w:spacing w:before="160" w:after="80"/>
      </w:pPr>
      <w:r>
        <w:t>2.3 5-Year Flare Cohort  (src/5_year/01_data_prep_5yr.py)</w:t>
      </w:r>
    </w:p>
    <w:p>
      <w:pPr>
        <w:spacing w:after="120"/>
      </w:pPr>
      <w:r>
        <w:t>The same exclusion logic was applied for the 5-year outcome. Non-responders were removed, and episodes without ≥5 years of follow-up (unless flare occurred before 5 years) were excluded. The 5-year cohort comprised 356 biopsy episodes (166 flare events, 190 non-events; 46.6% event rate). Saved as lupus_5yr_flare_dataset.xlsx.</w:t>
      </w:r>
    </w:p>
    <w:tbl>
      <w:tblPr>
        <w:tblStyle w:val="TableGrid"/>
        <w:tblW w:type="auto" w:w="0"/>
        <w:jc w:val="center"/>
        <w:tblLook w:firstColumn="1" w:firstRow="1" w:lastColumn="0" w:lastRow="0" w:noHBand="0" w:noVBand="1" w:val="04A0"/>
      </w:tblPr>
      <w:tblGrid>
        <w:gridCol w:w="3022"/>
        <w:gridCol w:w="3022"/>
        <w:gridCol w:w="3022"/>
      </w:tblGrid>
      <w:tr>
        <w:tc>
          <w:tcPr>
            <w:tcW w:type="dxa" w:w="4535"/>
            <w:shd w:val="clear" w:color="auto" w:fill="BDD7EE"/>
          </w:tcPr>
          <w:p>
            <w:r>
              <w:rPr>
                <w:b/>
                <w:sz w:val="20"/>
              </w:rPr>
            </w:r>
          </w:p>
        </w:tc>
        <w:tc>
          <w:tcPr>
            <w:tcW w:type="dxa" w:w="2268"/>
            <w:shd w:val="clear" w:color="auto" w:fill="BDD7EE"/>
          </w:tcPr>
          <w:p>
            <w:r>
              <w:rPr>
                <w:b/>
                <w:sz w:val="20"/>
              </w:rPr>
              <w:t>1-Year Cohort</w:t>
            </w:r>
          </w:p>
        </w:tc>
        <w:tc>
          <w:tcPr>
            <w:tcW w:type="dxa" w:w="2268"/>
            <w:shd w:val="clear" w:color="auto" w:fill="BDD7EE"/>
          </w:tcPr>
          <w:p>
            <w:r>
              <w:rPr>
                <w:b/>
                <w:sz w:val="20"/>
              </w:rPr>
              <w:t>5-Year Cohort</w:t>
            </w:r>
          </w:p>
        </w:tc>
      </w:tr>
      <w:tr>
        <w:tc>
          <w:tcPr>
            <w:tcW w:type="dxa" w:w="4535"/>
          </w:tcPr>
          <w:p>
            <w:r>
              <w:rPr>
                <w:sz w:val="20"/>
              </w:rPr>
              <w:t>Total biopsy episodes</w:t>
            </w:r>
          </w:p>
        </w:tc>
        <w:tc>
          <w:tcPr>
            <w:tcW w:type="dxa" w:w="2268"/>
          </w:tcPr>
          <w:p>
            <w:r>
              <w:rPr>
                <w:sz w:val="20"/>
              </w:rPr>
              <w:t>1,070</w:t>
            </w:r>
          </w:p>
        </w:tc>
        <w:tc>
          <w:tcPr>
            <w:tcW w:type="dxa" w:w="2268"/>
          </w:tcPr>
          <w:p>
            <w:r>
              <w:rPr>
                <w:sz w:val="20"/>
              </w:rPr>
              <w:t>1,070</w:t>
            </w:r>
          </w:p>
        </w:tc>
      </w:tr>
      <w:tr>
        <w:tc>
          <w:tcPr>
            <w:tcW w:type="dxa" w:w="4535"/>
            <w:shd w:val="clear" w:color="auto" w:fill="F2F2F2"/>
          </w:tcPr>
          <w:p>
            <w:r>
              <w:rPr>
                <w:sz w:val="20"/>
              </w:rPr>
              <w:t>Excluded: non-responders</w:t>
            </w:r>
          </w:p>
        </w:tc>
        <w:tc>
          <w:tcPr>
            <w:tcW w:type="dxa" w:w="2268"/>
            <w:shd w:val="clear" w:color="auto" w:fill="F2F2F2"/>
          </w:tcPr>
          <w:p>
            <w:r>
              <w:rPr>
                <w:sz w:val="20"/>
              </w:rPr>
              <w:t>177</w:t>
            </w:r>
          </w:p>
        </w:tc>
        <w:tc>
          <w:tcPr>
            <w:tcW w:type="dxa" w:w="2268"/>
            <w:shd w:val="clear" w:color="auto" w:fill="F2F2F2"/>
          </w:tcPr>
          <w:p>
            <w:r>
              <w:rPr>
                <w:sz w:val="20"/>
              </w:rPr>
              <w:t>177</w:t>
            </w:r>
          </w:p>
        </w:tc>
      </w:tr>
      <w:tr>
        <w:tc>
          <w:tcPr>
            <w:tcW w:type="dxa" w:w="4535"/>
          </w:tcPr>
          <w:p>
            <w:r>
              <w:rPr>
                <w:sz w:val="20"/>
              </w:rPr>
              <w:t>Excluded: inadequate follow-up</w:t>
            </w:r>
          </w:p>
        </w:tc>
        <w:tc>
          <w:tcPr>
            <w:tcW w:type="dxa" w:w="2268"/>
          </w:tcPr>
          <w:p>
            <w:r>
              <w:rPr>
                <w:sz w:val="20"/>
              </w:rPr>
              <w:t>463</w:t>
            </w:r>
          </w:p>
        </w:tc>
        <w:tc>
          <w:tcPr>
            <w:tcW w:type="dxa" w:w="2268"/>
          </w:tcPr>
          <w:p>
            <w:r>
              <w:rPr>
                <w:sz w:val="20"/>
              </w:rPr>
              <w:t>537</w:t>
            </w:r>
          </w:p>
        </w:tc>
      </w:tr>
      <w:tr>
        <w:tc>
          <w:tcPr>
            <w:tcW w:type="dxa" w:w="4535"/>
            <w:shd w:val="clear" w:color="auto" w:fill="F2F2F2"/>
          </w:tcPr>
          <w:p>
            <w:r>
              <w:rPr>
                <w:sz w:val="20"/>
              </w:rPr>
              <w:t>Analysable cohort</w:t>
            </w:r>
          </w:p>
        </w:tc>
        <w:tc>
          <w:tcPr>
            <w:tcW w:type="dxa" w:w="2268"/>
            <w:shd w:val="clear" w:color="auto" w:fill="F2F2F2"/>
          </w:tcPr>
          <w:p>
            <w:r>
              <w:rPr>
                <w:sz w:val="20"/>
              </w:rPr>
              <w:t>430</w:t>
            </w:r>
          </w:p>
        </w:tc>
        <w:tc>
          <w:tcPr>
            <w:tcW w:type="dxa" w:w="2268"/>
            <w:shd w:val="clear" w:color="auto" w:fill="F2F2F2"/>
          </w:tcPr>
          <w:p>
            <w:r>
              <w:rPr>
                <w:sz w:val="20"/>
              </w:rPr>
              <w:t>356</w:t>
            </w:r>
          </w:p>
        </w:tc>
      </w:tr>
      <w:tr>
        <w:tc>
          <w:tcPr>
            <w:tcW w:type="dxa" w:w="4535"/>
          </w:tcPr>
          <w:p>
            <w:r>
              <w:rPr>
                <w:sz w:val="20"/>
              </w:rPr>
              <w:t>Flare events (outcome = 1)</w:t>
            </w:r>
          </w:p>
        </w:tc>
        <w:tc>
          <w:tcPr>
            <w:tcW w:type="dxa" w:w="2268"/>
          </w:tcPr>
          <w:p>
            <w:r>
              <w:rPr>
                <w:sz w:val="20"/>
              </w:rPr>
              <w:t>99</w:t>
            </w:r>
          </w:p>
        </w:tc>
        <w:tc>
          <w:tcPr>
            <w:tcW w:type="dxa" w:w="2268"/>
          </w:tcPr>
          <w:p>
            <w:r>
              <w:rPr>
                <w:sz w:val="20"/>
              </w:rPr>
              <w:t>166</w:t>
            </w:r>
          </w:p>
        </w:tc>
      </w:tr>
      <w:tr>
        <w:tc>
          <w:tcPr>
            <w:tcW w:type="dxa" w:w="4535"/>
            <w:shd w:val="clear" w:color="auto" w:fill="F2F2F2"/>
          </w:tcPr>
          <w:p>
            <w:r>
              <w:rPr>
                <w:sz w:val="20"/>
              </w:rPr>
              <w:t>Non-flare controls (outcome = 0)</w:t>
            </w:r>
          </w:p>
        </w:tc>
        <w:tc>
          <w:tcPr>
            <w:tcW w:type="dxa" w:w="2268"/>
            <w:shd w:val="clear" w:color="auto" w:fill="F2F2F2"/>
          </w:tcPr>
          <w:p>
            <w:r>
              <w:rPr>
                <w:sz w:val="20"/>
              </w:rPr>
              <w:t>331</w:t>
            </w:r>
          </w:p>
        </w:tc>
        <w:tc>
          <w:tcPr>
            <w:tcW w:type="dxa" w:w="2268"/>
            <w:shd w:val="clear" w:color="auto" w:fill="F2F2F2"/>
          </w:tcPr>
          <w:p>
            <w:r>
              <w:rPr>
                <w:sz w:val="20"/>
              </w:rPr>
              <w:t>190</w:t>
            </w:r>
          </w:p>
        </w:tc>
      </w:tr>
      <w:tr>
        <w:tc>
          <w:tcPr>
            <w:tcW w:type="dxa" w:w="4535"/>
          </w:tcPr>
          <w:p>
            <w:r>
              <w:rPr>
                <w:sz w:val="20"/>
              </w:rPr>
              <w:t>Event rate</w:t>
            </w:r>
          </w:p>
        </w:tc>
        <w:tc>
          <w:tcPr>
            <w:tcW w:type="dxa" w:w="2268"/>
          </w:tcPr>
          <w:p>
            <w:r>
              <w:rPr>
                <w:sz w:val="20"/>
              </w:rPr>
              <w:t>23.0%</w:t>
            </w:r>
          </w:p>
        </w:tc>
        <w:tc>
          <w:tcPr>
            <w:tcW w:type="dxa" w:w="2268"/>
          </w:tcPr>
          <w:p>
            <w:r>
              <w:rPr>
                <w:sz w:val="20"/>
              </w:rPr>
              <w:t>46.6%</w:t>
            </w:r>
          </w:p>
        </w:tc>
      </w:tr>
    </w:tbl>
    <w:p/>
    <w:p>
      <w:pPr>
        <w:pStyle w:val="Heading2"/>
        <w:spacing w:before="160" w:after="80"/>
      </w:pPr>
      <w:r>
        <w:t>2.4 Serial Biopsy Sub-Cohort  (src/5_year/08_serial_biopsy_5yr.py)</w:t>
      </w:r>
    </w:p>
    <w:p>
      <w:pPr>
        <w:spacing w:after="120"/>
      </w:pPr>
      <w:r>
        <w:t>A serial biopsy sub-analysis was conducted within the 5-year cohort. Because no explicit patient identifier existed in the dataset, a proxy patient identifier was constructed as the concatenation of date of birth and gender (DOB + gender). This produced 634 unique patient groups with a maximum group size of 8, consistent with the known maximum of 9 biopsies per patient in this database.</w:t>
      </w:r>
    </w:p>
    <w:p>
      <w:pPr>
        <w:spacing w:after="120"/>
      </w:pPr>
      <w:r>
        <w:t>Patients with at least two biopsies in the 5-year cohort (n=70) were selected. For each serial patient, the most recent biopsy episode was used as the index biopsy, and delta features were computed as the difference between the most recent and immediately preceding biopsy (most recent − previous). The following delta features were derived:</w:t>
      </w:r>
    </w:p>
    <w:p>
      <w:pPr>
        <w:pStyle w:val="ListBullet"/>
        <w:spacing w:after="60"/>
        <w:ind w:left="340"/>
      </w:pPr>
      <w:r>
        <w:t>Δ % chronic gloms</w:t>
      </w:r>
    </w:p>
    <w:p>
      <w:pPr>
        <w:pStyle w:val="ListBullet"/>
        <w:spacing w:after="60"/>
        <w:ind w:left="340"/>
      </w:pPr>
      <w:r>
        <w:t>Δ % active gloms</w:t>
      </w:r>
    </w:p>
    <w:p>
      <w:pPr>
        <w:pStyle w:val="ListBullet"/>
        <w:spacing w:after="60"/>
        <w:ind w:left="340"/>
      </w:pPr>
      <w:r>
        <w:t>Δ % gloms with necrosis</w:t>
      </w:r>
    </w:p>
    <w:p>
      <w:pPr>
        <w:pStyle w:val="ListBullet"/>
        <w:spacing w:after="60"/>
        <w:ind w:left="340"/>
      </w:pPr>
      <w:r>
        <w:t>Δ % sclerosed gloms</w:t>
      </w:r>
    </w:p>
    <w:p>
      <w:pPr>
        <w:pStyle w:val="ListBullet"/>
        <w:spacing w:after="60"/>
        <w:ind w:left="340"/>
      </w:pPr>
      <w:r>
        <w:t>Δ LN class (coded)</w:t>
      </w:r>
    </w:p>
    <w:p>
      <w:pPr>
        <w:pStyle w:val="ListBullet"/>
        <w:spacing w:after="60"/>
        <w:ind w:left="340"/>
      </w:pPr>
      <w:r>
        <w:t>Δ eGFR (CKD-EPI, no ethnicity)</w:t>
      </w:r>
    </w:p>
    <w:p>
      <w:pPr>
        <w:pStyle w:val="ListBullet"/>
        <w:spacing w:after="60"/>
        <w:ind w:left="340"/>
      </w:pPr>
      <w:r>
        <w:t>Δ Proteinuria (log-transformed uPCR)</w:t>
      </w:r>
    </w:p>
    <w:p>
      <w:pPr>
        <w:spacing w:after="120"/>
      </w:pPr>
      <w:r>
        <w:t>Time between biopsies (months) was also computed. Time-normalised delta features (Δ / time_between_bx_months, i.e. change per month) were added alongside the raw deltas to capture the rate of change independently of the interval length. Division by zero (biopsies on the same date) was handled by assigning NaN.</w:t>
      </w:r>
    </w:p>
    <w:p>
      <w:pPr>
        <w:spacing w:after="120"/>
      </w:pPr>
      <w:r>
        <w:t>Prev exposure to cyclo was dropped before modelling: 69 of 70 patients had this value missing in the serial dataset, making it unusable. The 10 single-biopsy predictors from the 5-year feature set were carried forward from the most recent biopsy. The serial dataset comprised 70 patients with 34 flare events (48.6% event rate). Mean time between biopsies: 39.8 months.</w:t>
      </w:r>
    </w:p>
    <w:p>
      <w:pPr>
        <w:pStyle w:val="Heading2"/>
        <w:spacing w:before="160" w:after="80"/>
      </w:pPr>
      <w:r>
        <w:t>2.5 ESRD Cohort  (src/esrd/01_esrd_modelling.py)</w:t>
      </w:r>
    </w:p>
    <w:p>
      <w:pPr>
        <w:spacing w:after="120"/>
      </w:pPr>
      <w:r>
        <w:t>The ESRD analyses use the full raw database without the non-responder or follow-up exclusions applied in the flare cohorts. All 1,070 biopsy episodes were considered; episodes were excluded only if the 5- or 10-year outcome column was missing (NaN) or marked 'X' (insufficient follow-up). This produced a larger analytic cohort (n=796) compared to the flare cohorts, because no treatment-response filter was applied.</w:t>
      </w:r>
    </w:p>
    <w:p>
      <w:pPr>
        <w:spacing w:after="120"/>
      </w:pPr>
      <w:r>
        <w:t>The ESRD outcome is a composite binary endpoint: RRT/dialysis (code 3), death on RRT (code 5), or doubling of baseline creatinine (code 2). Outcome codes 4 (death alone, competing event), 6, 7, 8 (eGFR decline not meeting the composite), and X/NaN were excluded from the analytic dataset. Code 1 (stable eGFR&gt;80) served as the non-event control.</w:t>
      </w:r>
    </w:p>
    <w:tbl>
      <w:tblPr>
        <w:tblStyle w:val="TableGrid"/>
        <w:tblW w:type="auto" w:w="0"/>
        <w:jc w:val="center"/>
        <w:tblLook w:firstColumn="1" w:firstRow="1" w:lastColumn="0" w:lastRow="0" w:noHBand="0" w:noVBand="1" w:val="04A0"/>
      </w:tblPr>
      <w:tblGrid>
        <w:gridCol w:w="3022"/>
        <w:gridCol w:w="3022"/>
        <w:gridCol w:w="3022"/>
      </w:tblGrid>
      <w:tr>
        <w:tc>
          <w:tcPr>
            <w:tcW w:type="dxa" w:w="4535"/>
            <w:shd w:val="clear" w:color="auto" w:fill="BDD7EE"/>
          </w:tcPr>
          <w:p>
            <w:r>
              <w:rPr>
                <w:b/>
                <w:sz w:val="20"/>
              </w:rPr>
            </w:r>
          </w:p>
        </w:tc>
        <w:tc>
          <w:tcPr>
            <w:tcW w:type="dxa" w:w="2268"/>
            <w:shd w:val="clear" w:color="auto" w:fill="BDD7EE"/>
          </w:tcPr>
          <w:p>
            <w:r>
              <w:rPr>
                <w:b/>
                <w:sz w:val="20"/>
              </w:rPr>
              <w:t>ESRD 5-Year</w:t>
            </w:r>
          </w:p>
        </w:tc>
        <w:tc>
          <w:tcPr>
            <w:tcW w:type="dxa" w:w="2268"/>
            <w:shd w:val="clear" w:color="auto" w:fill="BDD7EE"/>
          </w:tcPr>
          <w:p>
            <w:r>
              <w:rPr>
                <w:b/>
                <w:sz w:val="20"/>
              </w:rPr>
              <w:t>ESRD 10-Year</w:t>
            </w:r>
          </w:p>
        </w:tc>
      </w:tr>
      <w:tr>
        <w:tc>
          <w:tcPr>
            <w:tcW w:type="dxa" w:w="4535"/>
          </w:tcPr>
          <w:p>
            <w:r>
              <w:rPr>
                <w:sz w:val="20"/>
              </w:rPr>
              <w:t>Total biopsy episodes</w:t>
            </w:r>
          </w:p>
        </w:tc>
        <w:tc>
          <w:tcPr>
            <w:tcW w:type="dxa" w:w="2268"/>
          </w:tcPr>
          <w:p>
            <w:r>
              <w:rPr>
                <w:sz w:val="20"/>
              </w:rPr>
              <w:t>1,070</w:t>
            </w:r>
          </w:p>
        </w:tc>
        <w:tc>
          <w:tcPr>
            <w:tcW w:type="dxa" w:w="2268"/>
          </w:tcPr>
          <w:p>
            <w:r>
              <w:rPr>
                <w:sz w:val="20"/>
              </w:rPr>
              <w:t>1,070</w:t>
            </w:r>
          </w:p>
        </w:tc>
      </w:tr>
      <w:tr>
        <w:tc>
          <w:tcPr>
            <w:tcW w:type="dxa" w:w="4535"/>
            <w:shd w:val="clear" w:color="auto" w:fill="F2F2F2"/>
          </w:tcPr>
          <w:p>
            <w:r>
              <w:rPr>
                <w:sz w:val="20"/>
              </w:rPr>
              <w:t>Excluded: NaN / X outcome</w:t>
            </w:r>
          </w:p>
        </w:tc>
        <w:tc>
          <w:tcPr>
            <w:tcW w:type="dxa" w:w="2268"/>
            <w:shd w:val="clear" w:color="auto" w:fill="F2F2F2"/>
          </w:tcPr>
          <w:p>
            <w:r>
              <w:rPr>
                <w:sz w:val="20"/>
              </w:rPr>
              <w:t>274</w:t>
            </w:r>
          </w:p>
        </w:tc>
        <w:tc>
          <w:tcPr>
            <w:tcW w:type="dxa" w:w="2268"/>
            <w:shd w:val="clear" w:color="auto" w:fill="F2F2F2"/>
          </w:tcPr>
          <w:p>
            <w:r>
              <w:rPr>
                <w:sz w:val="20"/>
              </w:rPr>
              <w:t>274</w:t>
            </w:r>
          </w:p>
        </w:tc>
      </w:tr>
      <w:tr>
        <w:tc>
          <w:tcPr>
            <w:tcW w:type="dxa" w:w="4535"/>
          </w:tcPr>
          <w:p>
            <w:r>
              <w:rPr>
                <w:sz w:val="20"/>
              </w:rPr>
              <w:t>Analysable cohort</w:t>
            </w:r>
          </w:p>
        </w:tc>
        <w:tc>
          <w:tcPr>
            <w:tcW w:type="dxa" w:w="2268"/>
          </w:tcPr>
          <w:p>
            <w:r>
              <w:rPr>
                <w:sz w:val="20"/>
              </w:rPr>
              <w:t>796</w:t>
            </w:r>
          </w:p>
        </w:tc>
        <w:tc>
          <w:tcPr>
            <w:tcW w:type="dxa" w:w="2268"/>
          </w:tcPr>
          <w:p>
            <w:r>
              <w:rPr>
                <w:sz w:val="20"/>
              </w:rPr>
              <w:t>796</w:t>
            </w:r>
          </w:p>
        </w:tc>
      </w:tr>
      <w:tr>
        <w:tc>
          <w:tcPr>
            <w:tcW w:type="dxa" w:w="4535"/>
            <w:shd w:val="clear" w:color="auto" w:fill="F2F2F2"/>
          </w:tcPr>
          <w:p>
            <w:r>
              <w:rPr>
                <w:sz w:val="20"/>
              </w:rPr>
              <w:t>ESRD events (codes 2, 3, 5)</w:t>
            </w:r>
          </w:p>
        </w:tc>
        <w:tc>
          <w:tcPr>
            <w:tcW w:type="dxa" w:w="2268"/>
            <w:shd w:val="clear" w:color="auto" w:fill="F2F2F2"/>
          </w:tcPr>
          <w:p>
            <w:r>
              <w:rPr>
                <w:sz w:val="20"/>
              </w:rPr>
              <w:t>112</w:t>
            </w:r>
          </w:p>
        </w:tc>
        <w:tc>
          <w:tcPr>
            <w:tcW w:type="dxa" w:w="2268"/>
            <w:shd w:val="clear" w:color="auto" w:fill="F2F2F2"/>
          </w:tcPr>
          <w:p>
            <w:r>
              <w:rPr>
                <w:sz w:val="20"/>
              </w:rPr>
              <w:t>175</w:t>
            </w:r>
          </w:p>
        </w:tc>
      </w:tr>
      <w:tr>
        <w:tc>
          <w:tcPr>
            <w:tcW w:type="dxa" w:w="4535"/>
          </w:tcPr>
          <w:p>
            <w:r>
              <w:rPr>
                <w:sz w:val="20"/>
              </w:rPr>
              <w:t>Non-events (code 1)</w:t>
            </w:r>
          </w:p>
        </w:tc>
        <w:tc>
          <w:tcPr>
            <w:tcW w:type="dxa" w:w="2268"/>
          </w:tcPr>
          <w:p>
            <w:r>
              <w:rPr>
                <w:sz w:val="20"/>
              </w:rPr>
              <w:t>684</w:t>
            </w:r>
          </w:p>
        </w:tc>
        <w:tc>
          <w:tcPr>
            <w:tcW w:type="dxa" w:w="2268"/>
          </w:tcPr>
          <w:p>
            <w:r>
              <w:rPr>
                <w:sz w:val="20"/>
              </w:rPr>
              <w:t>621</w:t>
            </w:r>
          </w:p>
        </w:tc>
      </w:tr>
      <w:tr>
        <w:tc>
          <w:tcPr>
            <w:tcW w:type="dxa" w:w="4535"/>
            <w:shd w:val="clear" w:color="auto" w:fill="F2F2F2"/>
          </w:tcPr>
          <w:p>
            <w:r>
              <w:rPr>
                <w:sz w:val="20"/>
              </w:rPr>
              <w:t>Event rate</w:t>
            </w:r>
          </w:p>
        </w:tc>
        <w:tc>
          <w:tcPr>
            <w:tcW w:type="dxa" w:w="2268"/>
            <w:shd w:val="clear" w:color="auto" w:fill="F2F2F2"/>
          </w:tcPr>
          <w:p>
            <w:r>
              <w:rPr>
                <w:sz w:val="20"/>
              </w:rPr>
              <w:t>14.1%</w:t>
            </w:r>
          </w:p>
        </w:tc>
        <w:tc>
          <w:tcPr>
            <w:tcW w:type="dxa" w:w="2268"/>
            <w:shd w:val="clear" w:color="auto" w:fill="F2F2F2"/>
          </w:tcPr>
          <w:p>
            <w:r>
              <w:rPr>
                <w:sz w:val="20"/>
              </w:rPr>
              <w:t>22.0%</w:t>
            </w:r>
          </w:p>
        </w:tc>
      </w:tr>
    </w:tbl>
    <w:p/>
    <w:p>
      <w:pPr>
        <w:spacing w:after="120"/>
      </w:pPr>
      <w:r>
        <w:t>Note: the ESRD cohort includes repeat biopsies from the same patient (not restricted to index biopsies), consistent with the modelling script's data loading approach. This differs from the exploratory data preparation script (src/esrd/01_data_prep_esrd.py), which restricts to index biopsies (biopsy number = 1) for cohort characterisation.</w:t>
      </w:r>
    </w:p>
    <w:p>
      <w:pPr>
        <w:pStyle w:val="Heading1"/>
        <w:spacing w:before="280" w:after="80"/>
      </w:pPr>
      <w:r>
        <w:t>3. Missingness Analysis and MICE Imputation</w:t>
      </w:r>
    </w:p>
    <w:p>
      <w:pPr>
        <w:pStyle w:val="Heading2"/>
        <w:spacing w:before="160" w:after="80"/>
      </w:pPr>
      <w:r>
        <w:t>3.1 Approach</w:t>
      </w:r>
    </w:p>
    <w:p>
      <w:pPr>
        <w:spacing w:after="120"/>
      </w:pPr>
      <w:r>
        <w:t>Missingness was assessed after leakage columns had been removed. Columns were categorised by percentage missing. Multiple Imputation by Chained Equations (MICE) was applied using scikit-learn's IterativeImputer (BayesianRidge estimator, 10 iterations, random_state=42). Only numeric columns with 0–50% missingness were imputed; columns &gt;50% missing were excluded from imputation and subsequently excluded from modelling.</w:t>
      </w:r>
    </w:p>
    <w:p>
      <w:pPr>
        <w:pStyle w:val="Heading2"/>
        <w:spacing w:before="160" w:after="80"/>
      </w:pPr>
      <w:r>
        <w:t>3.2 1-Year Cohort  (src/1_year/04_mice_imputation_1yr.py)</w:t>
      </w:r>
    </w:p>
    <w:tbl>
      <w:tblPr>
        <w:tblStyle w:val="TableGrid"/>
        <w:tblW w:type="auto" w:w="0"/>
        <w:jc w:val="center"/>
        <w:tblLook w:firstColumn="1" w:firstRow="1" w:lastColumn="0" w:lastRow="0" w:noHBand="0" w:noVBand="1" w:val="04A0"/>
      </w:tblPr>
      <w:tblGrid>
        <w:gridCol w:w="3022"/>
        <w:gridCol w:w="3022"/>
        <w:gridCol w:w="3022"/>
      </w:tblGrid>
      <w:tr>
        <w:tc>
          <w:tcPr>
            <w:tcW w:type="dxa" w:w="3969"/>
            <w:shd w:val="clear" w:color="auto" w:fill="BDD7EE"/>
          </w:tcPr>
          <w:p>
            <w:r>
              <w:rPr>
                <w:b/>
                <w:sz w:val="20"/>
              </w:rPr>
              <w:t>Missingness category</w:t>
            </w:r>
          </w:p>
        </w:tc>
        <w:tc>
          <w:tcPr>
            <w:tcW w:type="dxa" w:w="1984"/>
            <w:shd w:val="clear" w:color="auto" w:fill="BDD7EE"/>
          </w:tcPr>
          <w:p>
            <w:r>
              <w:rPr>
                <w:b/>
                <w:sz w:val="20"/>
              </w:rPr>
              <w:t>Threshold</w:t>
            </w:r>
          </w:p>
        </w:tc>
        <w:tc>
          <w:tcPr>
            <w:tcW w:type="dxa" w:w="1701"/>
            <w:shd w:val="clear" w:color="auto" w:fill="BDD7EE"/>
          </w:tcPr>
          <w:p>
            <w:r>
              <w:rPr>
                <w:b/>
                <w:sz w:val="20"/>
              </w:rPr>
              <w:t>Columns</w:t>
            </w:r>
          </w:p>
        </w:tc>
      </w:tr>
      <w:tr>
        <w:tc>
          <w:tcPr>
            <w:tcW w:type="dxa" w:w="3969"/>
          </w:tcPr>
          <w:p>
            <w:r>
              <w:rPr>
                <w:sz w:val="20"/>
              </w:rPr>
              <w:t>No missing</w:t>
            </w:r>
          </w:p>
        </w:tc>
        <w:tc>
          <w:tcPr>
            <w:tcW w:type="dxa" w:w="1984"/>
          </w:tcPr>
          <w:p>
            <w:r>
              <w:rPr>
                <w:sz w:val="20"/>
              </w:rPr>
              <w:t>0%</w:t>
            </w:r>
          </w:p>
        </w:tc>
        <w:tc>
          <w:tcPr>
            <w:tcW w:type="dxa" w:w="1701"/>
          </w:tcPr>
          <w:p>
            <w:r>
              <w:rPr>
                <w:sz w:val="20"/>
              </w:rPr>
              <w:t>46</w:t>
            </w:r>
          </w:p>
        </w:tc>
      </w:tr>
      <w:tr>
        <w:tc>
          <w:tcPr>
            <w:tcW w:type="dxa" w:w="3969"/>
            <w:shd w:val="clear" w:color="auto" w:fill="F2F2F2"/>
          </w:tcPr>
          <w:p>
            <w:r>
              <w:rPr>
                <w:sz w:val="20"/>
              </w:rPr>
              <w:t>Imputed (MICE)</w:t>
            </w:r>
          </w:p>
        </w:tc>
        <w:tc>
          <w:tcPr>
            <w:tcW w:type="dxa" w:w="1984"/>
            <w:shd w:val="clear" w:color="auto" w:fill="F2F2F2"/>
          </w:tcPr>
          <w:p>
            <w:r>
              <w:rPr>
                <w:sz w:val="20"/>
              </w:rPr>
              <w:t>0–50%</w:t>
            </w:r>
          </w:p>
        </w:tc>
        <w:tc>
          <w:tcPr>
            <w:tcW w:type="dxa" w:w="1701"/>
            <w:shd w:val="clear" w:color="auto" w:fill="F2F2F2"/>
          </w:tcPr>
          <w:p>
            <w:r>
              <w:rPr>
                <w:sz w:val="20"/>
              </w:rPr>
              <w:t>9</w:t>
            </w:r>
          </w:p>
        </w:tc>
      </w:tr>
      <w:tr>
        <w:tc>
          <w:tcPr>
            <w:tcW w:type="dxa" w:w="3969"/>
          </w:tcPr>
          <w:p>
            <w:r>
              <w:rPr>
                <w:sz w:val="20"/>
              </w:rPr>
              <w:t>Excluded from model</w:t>
            </w:r>
          </w:p>
        </w:tc>
        <w:tc>
          <w:tcPr>
            <w:tcW w:type="dxa" w:w="1984"/>
          </w:tcPr>
          <w:p>
            <w:r>
              <w:rPr>
                <w:sz w:val="20"/>
              </w:rPr>
              <w:t>&gt;50%</w:t>
            </w:r>
          </w:p>
        </w:tc>
        <w:tc>
          <w:tcPr>
            <w:tcW w:type="dxa" w:w="1701"/>
          </w:tcPr>
          <w:p>
            <w:r>
              <w:rPr>
                <w:sz w:val="20"/>
              </w:rPr>
              <w:t>19</w:t>
            </w:r>
          </w:p>
        </w:tc>
      </w:tr>
    </w:tbl>
    <w:p/>
    <w:p>
      <w:pPr>
        <w:spacing w:after="120"/>
      </w:pPr>
      <w:r>
        <w:t>After MICE imputation, the 1-year imputed dataset (lupus_1yr_imputed.xlsx) contained zero missing values across all retained numeric columns.</w:t>
      </w:r>
    </w:p>
    <w:p>
      <w:pPr>
        <w:pStyle w:val="Heading2"/>
        <w:spacing w:before="160" w:after="80"/>
      </w:pPr>
      <w:r>
        <w:t>3.3 5-Year Cohort  (src/5_year/03_mice_imputation_5yr.py)</w:t>
      </w:r>
    </w:p>
    <w:tbl>
      <w:tblPr>
        <w:tblStyle w:val="TableGrid"/>
        <w:tblW w:type="auto" w:w="0"/>
        <w:jc w:val="center"/>
        <w:tblLook w:firstColumn="1" w:firstRow="1" w:lastColumn="0" w:lastRow="0" w:noHBand="0" w:noVBand="1" w:val="04A0"/>
      </w:tblPr>
      <w:tblGrid>
        <w:gridCol w:w="3022"/>
        <w:gridCol w:w="3022"/>
        <w:gridCol w:w="3022"/>
      </w:tblGrid>
      <w:tr>
        <w:tc>
          <w:tcPr>
            <w:tcW w:type="dxa" w:w="3969"/>
            <w:shd w:val="clear" w:color="auto" w:fill="BDD7EE"/>
          </w:tcPr>
          <w:p>
            <w:r>
              <w:rPr>
                <w:b/>
                <w:sz w:val="20"/>
              </w:rPr>
              <w:t>Missingness category</w:t>
            </w:r>
          </w:p>
        </w:tc>
        <w:tc>
          <w:tcPr>
            <w:tcW w:type="dxa" w:w="1984"/>
            <w:shd w:val="clear" w:color="auto" w:fill="BDD7EE"/>
          </w:tcPr>
          <w:p>
            <w:r>
              <w:rPr>
                <w:b/>
                <w:sz w:val="20"/>
              </w:rPr>
              <w:t>Threshold</w:t>
            </w:r>
          </w:p>
        </w:tc>
        <w:tc>
          <w:tcPr>
            <w:tcW w:type="dxa" w:w="1701"/>
            <w:shd w:val="clear" w:color="auto" w:fill="BDD7EE"/>
          </w:tcPr>
          <w:p>
            <w:r>
              <w:rPr>
                <w:b/>
                <w:sz w:val="20"/>
              </w:rPr>
              <w:t>Columns</w:t>
            </w:r>
          </w:p>
        </w:tc>
      </w:tr>
      <w:tr>
        <w:tc>
          <w:tcPr>
            <w:tcW w:type="dxa" w:w="3969"/>
          </w:tcPr>
          <w:p>
            <w:r>
              <w:rPr>
                <w:sz w:val="20"/>
              </w:rPr>
              <w:t>No missing</w:t>
            </w:r>
          </w:p>
        </w:tc>
        <w:tc>
          <w:tcPr>
            <w:tcW w:type="dxa" w:w="1984"/>
          </w:tcPr>
          <w:p>
            <w:r>
              <w:rPr>
                <w:sz w:val="20"/>
              </w:rPr>
              <w:t>0%</w:t>
            </w:r>
          </w:p>
        </w:tc>
        <w:tc>
          <w:tcPr>
            <w:tcW w:type="dxa" w:w="1701"/>
          </w:tcPr>
          <w:p>
            <w:r>
              <w:rPr>
                <w:sz w:val="20"/>
              </w:rPr>
              <w:t>50</w:t>
            </w:r>
          </w:p>
        </w:tc>
      </w:tr>
      <w:tr>
        <w:tc>
          <w:tcPr>
            <w:tcW w:type="dxa" w:w="3969"/>
            <w:shd w:val="clear" w:color="auto" w:fill="F2F2F2"/>
          </w:tcPr>
          <w:p>
            <w:r>
              <w:rPr>
                <w:sz w:val="20"/>
              </w:rPr>
              <w:t>Imputed (MICE)</w:t>
            </w:r>
          </w:p>
        </w:tc>
        <w:tc>
          <w:tcPr>
            <w:tcW w:type="dxa" w:w="1984"/>
            <w:shd w:val="clear" w:color="auto" w:fill="F2F2F2"/>
          </w:tcPr>
          <w:p>
            <w:r>
              <w:rPr>
                <w:sz w:val="20"/>
              </w:rPr>
              <w:t>0–50%</w:t>
            </w:r>
          </w:p>
        </w:tc>
        <w:tc>
          <w:tcPr>
            <w:tcW w:type="dxa" w:w="1701"/>
            <w:shd w:val="clear" w:color="auto" w:fill="F2F2F2"/>
          </w:tcPr>
          <w:p>
            <w:r>
              <w:rPr>
                <w:sz w:val="20"/>
              </w:rPr>
              <w:t>10</w:t>
            </w:r>
          </w:p>
        </w:tc>
      </w:tr>
      <w:tr>
        <w:tc>
          <w:tcPr>
            <w:tcW w:type="dxa" w:w="3969"/>
          </w:tcPr>
          <w:p>
            <w:r>
              <w:rPr>
                <w:sz w:val="20"/>
              </w:rPr>
              <w:t>Excluded from model</w:t>
            </w:r>
          </w:p>
        </w:tc>
        <w:tc>
          <w:tcPr>
            <w:tcW w:type="dxa" w:w="1984"/>
          </w:tcPr>
          <w:p>
            <w:r>
              <w:rPr>
                <w:sz w:val="20"/>
              </w:rPr>
              <w:t>&gt;50%</w:t>
            </w:r>
          </w:p>
        </w:tc>
        <w:tc>
          <w:tcPr>
            <w:tcW w:type="dxa" w:w="1701"/>
          </w:tcPr>
          <w:p>
            <w:r>
              <w:rPr>
                <w:sz w:val="20"/>
              </w:rPr>
              <w:t>18</w:t>
            </w:r>
          </w:p>
        </w:tc>
      </w:tr>
    </w:tbl>
    <w:p/>
    <w:p>
      <w:pPr>
        <w:pStyle w:val="Heading2"/>
        <w:spacing w:before="160" w:after="80"/>
      </w:pPr>
      <w:r>
        <w:t>3.4 Serial Biopsy  (src/5_year/10_serial_feature_selection_5yr.py)</w:t>
      </w:r>
    </w:p>
    <w:p>
      <w:pPr>
        <w:spacing w:after="120"/>
      </w:pPr>
      <w:r>
        <w:t>For the serial biopsy dataset (70 patients, 24 predictor columns after metadata removal), missingness arose only in delta features where one or both biopsy values were missing. All 12 columns with missing values fell below 5% (3 missing of 70), except delta_egfr and delta_log_proteinuria (1 missing each). All were imputed with MICE. No column exceeded 50% missing. After imputation, zero missing values remained.</w:t>
      </w:r>
    </w:p>
    <w:p>
      <w:pPr>
        <w:pStyle w:val="Heading2"/>
        <w:spacing w:before="160" w:after="80"/>
      </w:pPr>
      <w:r>
        <w:t>3.5 ESRD Cohort  (src/esrd/00_esrd_feature_selection.py)</w:t>
      </w:r>
    </w:p>
    <w:p>
      <w:pPr>
        <w:spacing w:after="120"/>
      </w:pPr>
      <w:r>
        <w:t>MICE imputation for the ESRD analyses is performed as a dedicated pre-step within the feature selection script (src/esrd/00_esrd_feature_selection.py), prior to and separate from the modelling script. This matches the flare pipeline design. The IterativeImputer (BayesianRidge, max_iter=10, random_state=42) was fitted on the full analytic cohort after leakage columns and columns with &gt;50% missing values were removed. All candidate feature columns were coerced to numeric using pd.to_numeric(errors='coerce') before imputation, since several histopathological columns are stored as object type in the source Excel. After imputation, zero missing values remained.</w:t>
      </w:r>
    </w:p>
    <w:p>
      <w:pPr>
        <w:pStyle w:val="Heading1"/>
        <w:spacing w:before="280" w:after="80"/>
      </w:pPr>
      <w:r>
        <w:t>4. Feature Selection</w:t>
      </w:r>
    </w:p>
    <w:p>
      <w:pPr>
        <w:pStyle w:val="Heading2"/>
        <w:spacing w:before="160" w:after="80"/>
      </w:pPr>
      <w:r>
        <w:t>4.1 Pipeline Overview</w:t>
      </w:r>
    </w:p>
    <w:p>
      <w:pPr>
        <w:spacing w:after="120"/>
      </w:pPr>
      <w:r>
        <w:t>An identical multi-step feature selection pipeline was applied to the flare cohorts. Steps were applied in sequence; the output of each step was passed to the next:</w:t>
      </w:r>
    </w:p>
    <w:p>
      <w:pPr>
        <w:pStyle w:val="ListBullet"/>
        <w:spacing w:after="60"/>
        <w:ind w:left="340"/>
      </w:pPr>
      <w:r>
        <w:t>Step 1 — Leakage removal: any variable that encodes post-baseline information (outcomes, follow-up measurements, time-to-event, response dates) was explicitly excluded by name or keyword</w:t>
      </w:r>
    </w:p>
    <w:p>
      <w:pPr>
        <w:pStyle w:val="ListBullet"/>
        <w:spacing w:after="60"/>
        <w:ind w:left="340"/>
      </w:pPr>
      <w:r>
        <w:t>Step 2 — Date/text/ID exclusion: non-numeric columns</w:t>
      </w:r>
    </w:p>
    <w:p>
      <w:pPr>
        <w:pStyle w:val="ListBullet"/>
        <w:spacing w:after="60"/>
        <w:ind w:left="340"/>
      </w:pPr>
      <w:r>
        <w:t>Step 3a — Dominant binary removal: binary variables where one class &gt;90% of data (near-zero discriminatory variance)</w:t>
      </w:r>
    </w:p>
    <w:p>
      <w:pPr>
        <w:pStyle w:val="ListBullet"/>
        <w:spacing w:after="60"/>
        <w:ind w:left="340"/>
      </w:pPr>
      <w:r>
        <w:t>Step 3b — Low-variance removal: numeric variables with variance &lt;0.01</w:t>
      </w:r>
    </w:p>
    <w:p>
      <w:pPr>
        <w:pStyle w:val="ListBullet"/>
        <w:spacing w:after="60"/>
        <w:ind w:left="340"/>
      </w:pPr>
      <w:r>
        <w:t>Step 4 — High-correlation removal: pairwise Pearson r &gt;0.80; the variable appearing first in the correlation matrix was removed iteratively</w:t>
      </w:r>
    </w:p>
    <w:p>
      <w:pPr>
        <w:pStyle w:val="ListBullet"/>
        <w:spacing w:after="60"/>
        <w:ind w:left="340"/>
      </w:pPr>
      <w:r>
        <w:t>Step 5 — VIF removal: Variance Inflation Factor &gt;10 (after StandardScaler); iterative removal of worst variable</w:t>
      </w:r>
    </w:p>
    <w:p>
      <w:pPr>
        <w:pStyle w:val="ListBullet"/>
        <w:spacing w:after="60"/>
        <w:ind w:left="340"/>
      </w:pPr>
      <w:r>
        <w:t>Step 6 — LASSO regularisation: L1-penalised logistic regression (solver='saga') with decreasing C until ≤EPV_MAX features remained non-zero</w:t>
      </w:r>
    </w:p>
    <w:p>
      <w:pPr>
        <w:pStyle w:val="Heading2"/>
        <w:spacing w:before="160" w:after="80"/>
      </w:pPr>
      <w:r>
        <w:t>4.2 Events Per Variable (EPV) Rule</w:t>
      </w:r>
    </w:p>
    <w:p>
      <w:pPr>
        <w:spacing w:after="120"/>
      </w:pPr>
      <w:r>
        <w:t>The EPV-10 rule was applied to set the maximum number of predictors (EPV_MAX) for each cohort: EPV_MAX = floor(events / 10). This was used as the hard cap in the LASSO step.</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268"/>
            <w:shd w:val="clear" w:color="auto" w:fill="BDD7EE"/>
          </w:tcPr>
          <w:p>
            <w:r>
              <w:rPr>
                <w:b/>
                <w:sz w:val="20"/>
              </w:rPr>
              <w:t>Cohort</w:t>
            </w:r>
          </w:p>
        </w:tc>
        <w:tc>
          <w:tcPr>
            <w:tcW w:type="dxa" w:w="1417"/>
            <w:shd w:val="clear" w:color="auto" w:fill="BDD7EE"/>
          </w:tcPr>
          <w:p>
            <w:r>
              <w:rPr>
                <w:b/>
                <w:sz w:val="20"/>
              </w:rPr>
              <w:t>Events</w:t>
            </w:r>
          </w:p>
        </w:tc>
        <w:tc>
          <w:tcPr>
            <w:tcW w:type="dxa" w:w="1701"/>
            <w:shd w:val="clear" w:color="auto" w:fill="BDD7EE"/>
          </w:tcPr>
          <w:p>
            <w:r>
              <w:rPr>
                <w:b/>
                <w:sz w:val="20"/>
              </w:rPr>
              <w:t>EPV_MAX</w:t>
            </w:r>
          </w:p>
        </w:tc>
        <w:tc>
          <w:tcPr>
            <w:tcW w:type="dxa" w:w="1984"/>
            <w:shd w:val="clear" w:color="auto" w:fill="BDD7EE"/>
          </w:tcPr>
          <w:p>
            <w:r>
              <w:rPr>
                <w:b/>
                <w:sz w:val="20"/>
              </w:rPr>
              <w:t>Final predictors</w:t>
            </w:r>
          </w:p>
        </w:tc>
        <w:tc>
          <w:tcPr>
            <w:tcW w:type="dxa" w:w="1701"/>
            <w:shd w:val="clear" w:color="auto" w:fill="BDD7EE"/>
          </w:tcPr>
          <w:p>
            <w:r>
              <w:rPr>
                <w:b/>
                <w:sz w:val="20"/>
              </w:rPr>
              <w:t>Actual EPV</w:t>
            </w:r>
          </w:p>
        </w:tc>
      </w:tr>
      <w:tr>
        <w:tc>
          <w:tcPr>
            <w:tcW w:type="dxa" w:w="2268"/>
          </w:tcPr>
          <w:p>
            <w:r>
              <w:rPr>
                <w:sz w:val="20"/>
              </w:rPr>
              <w:t>1-Year flare</w:t>
            </w:r>
          </w:p>
        </w:tc>
        <w:tc>
          <w:tcPr>
            <w:tcW w:type="dxa" w:w="1417"/>
          </w:tcPr>
          <w:p>
            <w:r>
              <w:rPr>
                <w:sz w:val="20"/>
              </w:rPr>
              <w:t>99</w:t>
            </w:r>
          </w:p>
        </w:tc>
        <w:tc>
          <w:tcPr>
            <w:tcW w:type="dxa" w:w="1701"/>
          </w:tcPr>
          <w:p>
            <w:r>
              <w:rPr>
                <w:sz w:val="20"/>
              </w:rPr>
              <w:t>9</w:t>
            </w:r>
          </w:p>
        </w:tc>
        <w:tc>
          <w:tcPr>
            <w:tcW w:type="dxa" w:w="1984"/>
          </w:tcPr>
          <w:p>
            <w:r>
              <w:rPr>
                <w:sz w:val="20"/>
              </w:rPr>
              <w:t>9</w:t>
            </w:r>
          </w:p>
        </w:tc>
        <w:tc>
          <w:tcPr>
            <w:tcW w:type="dxa" w:w="1701"/>
          </w:tcPr>
          <w:p>
            <w:r>
              <w:rPr>
                <w:sz w:val="20"/>
              </w:rPr>
              <w:t>11.0</w:t>
            </w:r>
          </w:p>
        </w:tc>
      </w:tr>
      <w:tr>
        <w:tc>
          <w:tcPr>
            <w:tcW w:type="dxa" w:w="2268"/>
            <w:shd w:val="clear" w:color="auto" w:fill="F2F2F2"/>
          </w:tcPr>
          <w:p>
            <w:r>
              <w:rPr>
                <w:sz w:val="20"/>
              </w:rPr>
              <w:t>5-Year flare</w:t>
            </w:r>
          </w:p>
        </w:tc>
        <w:tc>
          <w:tcPr>
            <w:tcW w:type="dxa" w:w="1417"/>
            <w:shd w:val="clear" w:color="auto" w:fill="F2F2F2"/>
          </w:tcPr>
          <w:p>
            <w:r>
              <w:rPr>
                <w:sz w:val="20"/>
              </w:rPr>
              <w:t>166</w:t>
            </w:r>
          </w:p>
        </w:tc>
        <w:tc>
          <w:tcPr>
            <w:tcW w:type="dxa" w:w="1701"/>
            <w:shd w:val="clear" w:color="auto" w:fill="F2F2F2"/>
          </w:tcPr>
          <w:p>
            <w:r>
              <w:rPr>
                <w:sz w:val="20"/>
              </w:rPr>
              <w:t>15</w:t>
            </w:r>
          </w:p>
        </w:tc>
        <w:tc>
          <w:tcPr>
            <w:tcW w:type="dxa" w:w="1984"/>
            <w:shd w:val="clear" w:color="auto" w:fill="F2F2F2"/>
          </w:tcPr>
          <w:p>
            <w:r>
              <w:rPr>
                <w:sz w:val="20"/>
              </w:rPr>
              <w:t>10</w:t>
            </w:r>
          </w:p>
        </w:tc>
        <w:tc>
          <w:tcPr>
            <w:tcW w:type="dxa" w:w="1701"/>
            <w:shd w:val="clear" w:color="auto" w:fill="F2F2F2"/>
          </w:tcPr>
          <w:p>
            <w:r>
              <w:rPr>
                <w:sz w:val="20"/>
              </w:rPr>
              <w:t>16.6</w:t>
            </w:r>
          </w:p>
        </w:tc>
      </w:tr>
      <w:tr>
        <w:tc>
          <w:tcPr>
            <w:tcW w:type="dxa" w:w="2268"/>
          </w:tcPr>
          <w:p>
            <w:r>
              <w:rPr>
                <w:sz w:val="20"/>
              </w:rPr>
              <w:t>Serial biopsy</w:t>
            </w:r>
          </w:p>
        </w:tc>
        <w:tc>
          <w:tcPr>
            <w:tcW w:type="dxa" w:w="1417"/>
          </w:tcPr>
          <w:p>
            <w:r>
              <w:rPr>
                <w:sz w:val="20"/>
              </w:rPr>
              <w:t>34</w:t>
            </w:r>
          </w:p>
        </w:tc>
        <w:tc>
          <w:tcPr>
            <w:tcW w:type="dxa" w:w="1701"/>
          </w:tcPr>
          <w:p>
            <w:r>
              <w:rPr>
                <w:sz w:val="20"/>
              </w:rPr>
              <w:t>4</w:t>
            </w:r>
          </w:p>
        </w:tc>
        <w:tc>
          <w:tcPr>
            <w:tcW w:type="dxa" w:w="1984"/>
          </w:tcPr>
          <w:p>
            <w:r>
              <w:rPr>
                <w:sz w:val="20"/>
              </w:rPr>
              <w:t>2</w:t>
            </w:r>
          </w:p>
        </w:tc>
        <w:tc>
          <w:tcPr>
            <w:tcW w:type="dxa" w:w="1701"/>
          </w:tcPr>
          <w:p>
            <w:r>
              <w:rPr>
                <w:sz w:val="20"/>
              </w:rPr>
              <w:t>17.0</w:t>
            </w:r>
          </w:p>
        </w:tc>
      </w:tr>
      <w:tr>
        <w:tc>
          <w:tcPr>
            <w:tcW w:type="dxa" w:w="2268"/>
            <w:shd w:val="clear" w:color="auto" w:fill="F2F2F2"/>
          </w:tcPr>
          <w:p>
            <w:r>
              <w:rPr>
                <w:sz w:val="20"/>
              </w:rPr>
              <w:t>ESRD 5-Year</w:t>
            </w:r>
          </w:p>
        </w:tc>
        <w:tc>
          <w:tcPr>
            <w:tcW w:type="dxa" w:w="1417"/>
            <w:shd w:val="clear" w:color="auto" w:fill="F2F2F2"/>
          </w:tcPr>
          <w:p>
            <w:r>
              <w:rPr>
                <w:sz w:val="20"/>
              </w:rPr>
              <w:t>112</w:t>
            </w:r>
          </w:p>
        </w:tc>
        <w:tc>
          <w:tcPr>
            <w:tcW w:type="dxa" w:w="1701"/>
            <w:shd w:val="clear" w:color="auto" w:fill="F2F2F2"/>
          </w:tcPr>
          <w:p>
            <w:r>
              <w:rPr>
                <w:sz w:val="20"/>
              </w:rPr>
              <w:t>11</w:t>
            </w:r>
          </w:p>
        </w:tc>
        <w:tc>
          <w:tcPr>
            <w:tcW w:type="dxa" w:w="1984"/>
            <w:shd w:val="clear" w:color="auto" w:fill="F2F2F2"/>
          </w:tcPr>
          <w:p>
            <w:r>
              <w:rPr>
                <w:sz w:val="20"/>
              </w:rPr>
              <w:t>5</w:t>
            </w:r>
          </w:p>
        </w:tc>
        <w:tc>
          <w:tcPr>
            <w:tcW w:type="dxa" w:w="1701"/>
            <w:shd w:val="clear" w:color="auto" w:fill="F2F2F2"/>
          </w:tcPr>
          <w:p>
            <w:r>
              <w:rPr>
                <w:sz w:val="20"/>
              </w:rPr>
              <w:t>22.4</w:t>
            </w:r>
          </w:p>
        </w:tc>
      </w:tr>
      <w:tr>
        <w:tc>
          <w:tcPr>
            <w:tcW w:type="dxa" w:w="2268"/>
          </w:tcPr>
          <w:p>
            <w:r>
              <w:rPr>
                <w:sz w:val="20"/>
              </w:rPr>
              <w:t>ESRD 10-Year</w:t>
            </w:r>
          </w:p>
        </w:tc>
        <w:tc>
          <w:tcPr>
            <w:tcW w:type="dxa" w:w="1417"/>
          </w:tcPr>
          <w:p>
            <w:r>
              <w:rPr>
                <w:sz w:val="20"/>
              </w:rPr>
              <w:t>175</w:t>
            </w:r>
          </w:p>
        </w:tc>
        <w:tc>
          <w:tcPr>
            <w:tcW w:type="dxa" w:w="1701"/>
          </w:tcPr>
          <w:p>
            <w:r>
              <w:rPr>
                <w:sz w:val="20"/>
              </w:rPr>
              <w:t>17</w:t>
            </w:r>
          </w:p>
        </w:tc>
        <w:tc>
          <w:tcPr>
            <w:tcW w:type="dxa" w:w="1984"/>
          </w:tcPr>
          <w:p>
            <w:r>
              <w:rPr>
                <w:sz w:val="20"/>
              </w:rPr>
              <w:t>17</w:t>
            </w:r>
          </w:p>
        </w:tc>
        <w:tc>
          <w:tcPr>
            <w:tcW w:type="dxa" w:w="1701"/>
          </w:tcPr>
          <w:p>
            <w:r>
              <w:rPr>
                <w:sz w:val="20"/>
              </w:rPr>
              <w:t>10.3</w:t>
            </w:r>
          </w:p>
        </w:tc>
      </w:tr>
    </w:tbl>
    <w:p/>
    <w:p>
      <w:pPr>
        <w:spacing w:after="120"/>
      </w:pPr>
      <w:r>
        <w:t>Note: the serial biopsy analysis ended with 2 predictors (EPV=17), not because the cap was raised, but because the LASSO path jumped from 12 features at C=0.5 directly to 2 features at C=0.2 with no intermediate value achieving 3–4 features. The two retained features are those with the strongest regularisation-robust association with the outcome in this small sample.</w:t>
      </w:r>
    </w:p>
    <w:p>
      <w:pPr>
        <w:pStyle w:val="Heading2"/>
        <w:spacing w:before="160" w:after="80"/>
      </w:pPr>
      <w:r>
        <w:t>4.3 1-Year Feature Selection  (src/1_year/05_feature_selection_1yr.py)</w:t>
      </w:r>
    </w:p>
    <w:p>
      <w:pPr>
        <w:spacing w:after="120"/>
      </w:pPr>
      <w:r>
        <w:t>Step 1 — Leakage removal: 73 columns removed. Categories removed included:</w:t>
      </w:r>
    </w:p>
    <w:p>
      <w:pPr>
        <w:pStyle w:val="ListBullet"/>
        <w:spacing w:after="60"/>
        <w:ind w:left="340"/>
      </w:pPr>
      <w:r>
        <w:t>1-year creatinine, eGFR, proteinuria (measured at the outcome timepoint)</w:t>
      </w:r>
    </w:p>
    <w:p>
      <w:pPr>
        <w:pStyle w:val="ListBullet"/>
        <w:spacing w:after="60"/>
        <w:ind w:left="340"/>
      </w:pPr>
      <w:r>
        <w:t>Change-from-baseline columns (require knowing the 1-year value)</w:t>
      </w:r>
    </w:p>
    <w:p>
      <w:pPr>
        <w:pStyle w:val="ListBullet"/>
        <w:spacing w:after="60"/>
        <w:ind w:left="340"/>
      </w:pPr>
      <w:r>
        <w:t>Treatment response outcomes (CR, PR, NR, time to response, remission dates)</w:t>
      </w:r>
    </w:p>
    <w:p>
      <w:pPr>
        <w:pStyle w:val="ListBullet"/>
        <w:spacing w:after="60"/>
        <w:ind w:left="340"/>
      </w:pPr>
      <w:r>
        <w:t>Long-term renal and survival outcomes (RRT, death, CKD, creatinine doubling)</w:t>
      </w:r>
    </w:p>
    <w:p>
      <w:pPr>
        <w:pStyle w:val="ListBullet"/>
        <w:spacing w:after="60"/>
        <w:ind w:left="340"/>
      </w:pPr>
      <w:r>
        <w:t>Time-to-event outcomes (from diagnosis and from biopsy)</w:t>
      </w:r>
    </w:p>
    <w:p>
      <w:pPr>
        <w:pStyle w:val="ListBullet"/>
        <w:spacing w:after="60"/>
        <w:ind w:left="340"/>
      </w:pPr>
      <w:r>
        <w:t>Outcome-at-X-years columns (1, 5, 10 years)</w:t>
      </w:r>
    </w:p>
    <w:p>
      <w:pPr>
        <w:spacing w:after="120"/>
      </w:pPr>
      <w:r>
        <w:t>26 baseline numeric features remained after leakage and date/text exclusion.</w:t>
      </w:r>
    </w:p>
    <w:p>
      <w:pPr>
        <w:spacing w:after="120"/>
      </w:pPr>
      <w:r>
        <w:t>Step 3a — Dominant binary removal:</w:t>
      </w:r>
    </w:p>
    <w:tbl>
      <w:tblPr>
        <w:tblStyle w:val="TableGrid"/>
        <w:tblW w:type="auto" w:w="0"/>
        <w:jc w:val="center"/>
        <w:tblLook w:firstColumn="1" w:firstRow="1" w:lastColumn="0" w:lastRow="0" w:noHBand="0" w:noVBand="1" w:val="04A0"/>
      </w:tblPr>
      <w:tblGrid>
        <w:gridCol w:w="4533"/>
        <w:gridCol w:w="4533"/>
      </w:tblGrid>
      <w:tr>
        <w:tc>
          <w:tcPr>
            <w:tcW w:type="dxa" w:w="6803"/>
            <w:shd w:val="clear" w:color="auto" w:fill="BDD7EE"/>
          </w:tcPr>
          <w:p>
            <w:r>
              <w:rPr>
                <w:b/>
                <w:sz w:val="20"/>
              </w:rPr>
              <w:t>Variable removed</w:t>
            </w:r>
          </w:p>
        </w:tc>
        <w:tc>
          <w:tcPr>
            <w:tcW w:type="dxa" w:w="2268"/>
            <w:shd w:val="clear" w:color="auto" w:fill="BDD7EE"/>
          </w:tcPr>
          <w:p>
            <w:r>
              <w:rPr>
                <w:b/>
                <w:sz w:val="20"/>
              </w:rPr>
              <w:t>Majority class (%)</w:t>
            </w:r>
          </w:p>
        </w:tc>
      </w:tr>
      <w:tr>
        <w:tc>
          <w:tcPr>
            <w:tcW w:type="dxa" w:w="6803"/>
          </w:tcPr>
          <w:p>
            <w:r>
              <w:rPr>
                <w:sz w:val="20"/>
              </w:rPr>
              <w:t>ANA (ever)</w:t>
            </w:r>
          </w:p>
        </w:tc>
        <w:tc>
          <w:tcPr>
            <w:tcW w:type="dxa" w:w="2268"/>
          </w:tcPr>
          <w:p>
            <w:r>
              <w:rPr>
                <w:sz w:val="20"/>
              </w:rPr>
              <w:t>93.7%</w:t>
            </w:r>
          </w:p>
        </w:tc>
      </w:tr>
    </w:tbl>
    <w:p/>
    <w:p>
      <w:pPr>
        <w:spacing w:after="120"/>
      </w:pPr>
      <w:r>
        <w:t>Step 3b — Low-variance removal:</w:t>
      </w:r>
    </w:p>
    <w:tbl>
      <w:tblPr>
        <w:tblStyle w:val="TableGrid"/>
        <w:tblW w:type="auto" w:w="0"/>
        <w:jc w:val="center"/>
        <w:tblLook w:firstColumn="1" w:firstRow="1" w:lastColumn="0" w:lastRow="0" w:noHBand="0" w:noVBand="1" w:val="04A0"/>
      </w:tblPr>
      <w:tblGrid>
        <w:gridCol w:w="4533"/>
        <w:gridCol w:w="4533"/>
      </w:tblGrid>
      <w:tr>
        <w:tc>
          <w:tcPr>
            <w:tcW w:type="dxa" w:w="6803"/>
            <w:shd w:val="clear" w:color="auto" w:fill="BDD7EE"/>
          </w:tcPr>
          <w:p>
            <w:r>
              <w:rPr>
                <w:b/>
                <w:sz w:val="20"/>
              </w:rPr>
              <w:t>Variable removed</w:t>
            </w:r>
          </w:p>
        </w:tc>
        <w:tc>
          <w:tcPr>
            <w:tcW w:type="dxa" w:w="2268"/>
            <w:shd w:val="clear" w:color="auto" w:fill="BDD7EE"/>
          </w:tcPr>
          <w:p>
            <w:r>
              <w:rPr>
                <w:b/>
                <w:sz w:val="20"/>
              </w:rPr>
              <w:t>Variance</w:t>
            </w:r>
          </w:p>
        </w:tc>
      </w:tr>
      <w:tr>
        <w:tc>
          <w:tcPr>
            <w:tcW w:type="dxa" w:w="6803"/>
          </w:tcPr>
          <w:p>
            <w:r>
              <w:rPr>
                <w:sz w:val="20"/>
              </w:rPr>
              <w:t>Minimum of Creat/k and 1</w:t>
            </w:r>
          </w:p>
        </w:tc>
        <w:tc>
          <w:tcPr>
            <w:tcW w:type="dxa" w:w="2268"/>
          </w:tcPr>
          <w:p>
            <w:r>
              <w:rPr>
                <w:sz w:val="20"/>
              </w:rPr>
              <w:t>0.004</w:t>
            </w:r>
          </w:p>
        </w:tc>
      </w:tr>
    </w:tbl>
    <w:p/>
    <w:p>
      <w:pPr>
        <w:spacing w:after="120"/>
      </w:pPr>
      <w:r>
        <w:t>Step 4 — High-correlation removal (r &gt; 0.80), 5 variables removed:</w:t>
      </w:r>
    </w:p>
    <w:tbl>
      <w:tblPr>
        <w:tblStyle w:val="TableGrid"/>
        <w:tblW w:type="auto" w:w="0"/>
        <w:jc w:val="center"/>
        <w:tblLook w:firstColumn="1" w:firstRow="1" w:lastColumn="0" w:lastRow="0" w:noHBand="0" w:noVBand="1" w:val="04A0"/>
      </w:tblPr>
      <w:tblGrid>
        <w:gridCol w:w="3022"/>
        <w:gridCol w:w="3022"/>
        <w:gridCol w:w="3022"/>
      </w:tblGrid>
      <w:tr>
        <w:tc>
          <w:tcPr>
            <w:tcW w:type="dxa" w:w="3402"/>
            <w:shd w:val="clear" w:color="auto" w:fill="BDD7EE"/>
          </w:tcPr>
          <w:p>
            <w:r>
              <w:rPr>
                <w:b/>
                <w:sz w:val="20"/>
              </w:rPr>
              <w:t>Variable removed</w:t>
            </w:r>
          </w:p>
        </w:tc>
        <w:tc>
          <w:tcPr>
            <w:tcW w:type="dxa" w:w="3969"/>
            <w:shd w:val="clear" w:color="auto" w:fill="BDD7EE"/>
          </w:tcPr>
          <w:p>
            <w:r>
              <w:rPr>
                <w:b/>
                <w:sz w:val="20"/>
              </w:rPr>
              <w:t>Retained variable</w:t>
            </w:r>
          </w:p>
        </w:tc>
        <w:tc>
          <w:tcPr>
            <w:tcW w:type="dxa" w:w="1134"/>
            <w:shd w:val="clear" w:color="auto" w:fill="BDD7EE"/>
          </w:tcPr>
          <w:p>
            <w:r>
              <w:rPr>
                <w:b/>
                <w:sz w:val="20"/>
              </w:rPr>
              <w:t>r</w:t>
            </w:r>
          </w:p>
        </w:tc>
      </w:tr>
      <w:tr>
        <w:tc>
          <w:tcPr>
            <w:tcW w:type="dxa" w:w="3402"/>
          </w:tcPr>
          <w:p>
            <w:r>
              <w:rPr>
                <w:sz w:val="20"/>
              </w:rPr>
              <w:t>Age at biopsy</w:t>
            </w:r>
          </w:p>
        </w:tc>
        <w:tc>
          <w:tcPr>
            <w:tcW w:type="dxa" w:w="3969"/>
          </w:tcPr>
          <w:p>
            <w:r>
              <w:rPr>
                <w:sz w:val="20"/>
              </w:rPr>
              <w:t>Age (Now)</w:t>
            </w:r>
          </w:p>
        </w:tc>
        <w:tc>
          <w:tcPr>
            <w:tcW w:type="dxa" w:w="1134"/>
          </w:tcPr>
          <w:p>
            <w:r>
              <w:rPr>
                <w:sz w:val="20"/>
              </w:rPr>
              <w:t>0.933</w:t>
            </w:r>
          </w:p>
        </w:tc>
      </w:tr>
      <w:tr>
        <w:tc>
          <w:tcPr>
            <w:tcW w:type="dxa" w:w="3402"/>
            <w:shd w:val="clear" w:color="auto" w:fill="F2F2F2"/>
          </w:tcPr>
          <w:p>
            <w:r>
              <w:rPr>
                <w:sz w:val="20"/>
              </w:rPr>
              <w:t>Age at diagnosis LN</w:t>
            </w:r>
          </w:p>
        </w:tc>
        <w:tc>
          <w:tcPr>
            <w:tcW w:type="dxa" w:w="3969"/>
            <w:shd w:val="clear" w:color="auto" w:fill="F2F2F2"/>
          </w:tcPr>
          <w:p>
            <w:r>
              <w:rPr>
                <w:sz w:val="20"/>
              </w:rPr>
              <w:t>Age (Now)</w:t>
            </w:r>
          </w:p>
        </w:tc>
        <w:tc>
          <w:tcPr>
            <w:tcW w:type="dxa" w:w="1134"/>
            <w:shd w:val="clear" w:color="auto" w:fill="F2F2F2"/>
          </w:tcPr>
          <w:p>
            <w:r>
              <w:rPr>
                <w:sz w:val="20"/>
              </w:rPr>
              <w:t>0.859</w:t>
            </w:r>
          </w:p>
        </w:tc>
      </w:tr>
      <w:tr>
        <w:tc>
          <w:tcPr>
            <w:tcW w:type="dxa" w:w="3402"/>
          </w:tcPr>
          <w:p>
            <w:r>
              <w:rPr>
                <w:sz w:val="20"/>
              </w:rPr>
              <w:t>Creat/0.9 if male or 0.7 if female</w:t>
            </w:r>
          </w:p>
        </w:tc>
        <w:tc>
          <w:tcPr>
            <w:tcW w:type="dxa" w:w="3969"/>
          </w:tcPr>
          <w:p>
            <w:r>
              <w:rPr>
                <w:sz w:val="20"/>
              </w:rPr>
              <w:t>Creatinine at biopsy (mg/dl)</w:t>
            </w:r>
          </w:p>
        </w:tc>
        <w:tc>
          <w:tcPr>
            <w:tcW w:type="dxa" w:w="1134"/>
          </w:tcPr>
          <w:p>
            <w:r>
              <w:rPr>
                <w:sz w:val="20"/>
              </w:rPr>
              <w:t>0.985</w:t>
            </w:r>
          </w:p>
        </w:tc>
      </w:tr>
      <w:tr>
        <w:tc>
          <w:tcPr>
            <w:tcW w:type="dxa" w:w="3402"/>
            <w:shd w:val="clear" w:color="auto" w:fill="F2F2F2"/>
          </w:tcPr>
          <w:p>
            <w:r>
              <w:rPr>
                <w:sz w:val="20"/>
              </w:rPr>
              <w:t>Maximum of Creat/k and 1</w:t>
            </w:r>
          </w:p>
        </w:tc>
        <w:tc>
          <w:tcPr>
            <w:tcW w:type="dxa" w:w="3969"/>
            <w:shd w:val="clear" w:color="auto" w:fill="F2F2F2"/>
          </w:tcPr>
          <w:p>
            <w:r>
              <w:rPr>
                <w:sz w:val="20"/>
              </w:rPr>
              <w:t>Creatinine at biopsy (mg/dl)</w:t>
            </w:r>
          </w:p>
        </w:tc>
        <w:tc>
          <w:tcPr>
            <w:tcW w:type="dxa" w:w="1134"/>
            <w:shd w:val="clear" w:color="auto" w:fill="F2F2F2"/>
          </w:tcPr>
          <w:p>
            <w:r>
              <w:rPr>
                <w:sz w:val="20"/>
              </w:rPr>
              <w:t>0.984</w:t>
            </w:r>
          </w:p>
        </w:tc>
      </w:tr>
      <w:tr>
        <w:tc>
          <w:tcPr>
            <w:tcW w:type="dxa" w:w="3402"/>
          </w:tcPr>
          <w:p>
            <w:r>
              <w:rPr>
                <w:sz w:val="20"/>
              </w:rPr>
              <w:t>CKD-EPI with ethnicity</w:t>
            </w:r>
          </w:p>
        </w:tc>
        <w:tc>
          <w:tcPr>
            <w:tcW w:type="dxa" w:w="3969"/>
          </w:tcPr>
          <w:p>
            <w:r>
              <w:rPr>
                <w:sz w:val="20"/>
              </w:rPr>
              <w:t>CKD-EPI without ethnicity</w:t>
            </w:r>
          </w:p>
        </w:tc>
        <w:tc>
          <w:tcPr>
            <w:tcW w:type="dxa" w:w="1134"/>
          </w:tcPr>
          <w:p>
            <w:r>
              <w:rPr>
                <w:sz w:val="20"/>
              </w:rPr>
              <w:t>0.984</w:t>
            </w:r>
          </w:p>
        </w:tc>
      </w:tr>
    </w:tbl>
    <w:p/>
    <w:p>
      <w:pPr>
        <w:spacing w:after="120"/>
      </w:pPr>
      <w:r>
        <w:t>Step 5 — VIF removal: No variables exceeded VIF = 10. Maximum VIF = 3.41. No removals.</w:t>
      </w:r>
    </w:p>
    <w:p>
      <w:pPr>
        <w:spacing w:after="120"/>
      </w:pPr>
      <w:r>
        <w:t>Step 6 — LASSO (EPV_MAX = 9): C = 0.2 reduced 20 features to 10 non-zero. 10 variables zeroed:</w:t>
      </w:r>
    </w:p>
    <w:tbl>
      <w:tblPr>
        <w:tblStyle w:val="TableGrid"/>
        <w:tblW w:type="auto" w:w="0"/>
        <w:jc w:val="center"/>
        <w:tblLook w:firstColumn="1" w:firstRow="1" w:lastColumn="0" w:lastRow="0" w:noHBand="0" w:noVBand="1" w:val="04A0"/>
      </w:tblPr>
      <w:tblGrid>
        <w:gridCol w:w="9066"/>
      </w:tblGrid>
      <w:tr>
        <w:tc>
          <w:tcPr>
            <w:tcW w:type="dxa" w:w="9071"/>
            <w:shd w:val="clear" w:color="auto" w:fill="BDD7EE"/>
          </w:tcPr>
          <w:p>
            <w:r>
              <w:rPr>
                <w:b/>
                <w:sz w:val="20"/>
              </w:rPr>
              <w:t>Variable zeroed by LASSO at C=0.2</w:t>
            </w:r>
          </w:p>
        </w:tc>
      </w:tr>
      <w:tr>
        <w:tc>
          <w:tcPr>
            <w:tcW w:type="dxa" w:w="9071"/>
          </w:tcPr>
          <w:p>
            <w:r>
              <w:rPr>
                <w:sz w:val="20"/>
              </w:rPr>
              <w:t>Creatinine at biopsy (mg/dl)</w:t>
            </w:r>
          </w:p>
        </w:tc>
      </w:tr>
      <w:tr>
        <w:tc>
          <w:tcPr>
            <w:tcW w:type="dxa" w:w="9071"/>
            <w:shd w:val="clear" w:color="auto" w:fill="F2F2F2"/>
          </w:tcPr>
          <w:p>
            <w:r>
              <w:rPr>
                <w:sz w:val="20"/>
              </w:rPr>
              <w:t>CKD-EPI formula without ethnicity</w:t>
            </w:r>
          </w:p>
        </w:tc>
      </w:tr>
      <w:tr>
        <w:tc>
          <w:tcPr>
            <w:tcW w:type="dxa" w:w="9071"/>
          </w:tcPr>
          <w:p>
            <w:r>
              <w:rPr>
                <w:sz w:val="20"/>
              </w:rPr>
              <w:t>ANCA tested within 6 months of biopsy</w:t>
            </w:r>
          </w:p>
        </w:tc>
      </w:tr>
      <w:tr>
        <w:tc>
          <w:tcPr>
            <w:tcW w:type="dxa" w:w="9071"/>
            <w:shd w:val="clear" w:color="auto" w:fill="F2F2F2"/>
          </w:tcPr>
          <w:p>
            <w:r>
              <w:rPr>
                <w:sz w:val="20"/>
              </w:rPr>
              <w:t>Age (Now)</w:t>
            </w:r>
          </w:p>
        </w:tc>
      </w:tr>
      <w:tr>
        <w:tc>
          <w:tcPr>
            <w:tcW w:type="dxa" w:w="9071"/>
          </w:tcPr>
          <w:p>
            <w:r>
              <w:rPr>
                <w:sz w:val="20"/>
              </w:rPr>
              <w:t>Biopsy number for patient</w:t>
            </w:r>
          </w:p>
        </w:tc>
      </w:tr>
      <w:tr>
        <w:tc>
          <w:tcPr>
            <w:tcW w:type="dxa" w:w="9071"/>
            <w:shd w:val="clear" w:color="auto" w:fill="F2F2F2"/>
          </w:tcPr>
          <w:p>
            <w:r>
              <w:rPr>
                <w:sz w:val="20"/>
              </w:rPr>
              <w:t>Gender</w:t>
            </w:r>
          </w:p>
        </w:tc>
      </w:tr>
      <w:tr>
        <w:tc>
          <w:tcPr>
            <w:tcW w:type="dxa" w:w="9071"/>
          </w:tcPr>
          <w:p>
            <w:r>
              <w:rPr>
                <w:sz w:val="20"/>
              </w:rPr>
              <w:t>dsDNA / SM / APL ever positive</w:t>
            </w:r>
          </w:p>
        </w:tc>
      </w:tr>
      <w:tr>
        <w:tc>
          <w:tcPr>
            <w:tcW w:type="dxa" w:w="9071"/>
            <w:shd w:val="clear" w:color="auto" w:fill="F2F2F2"/>
          </w:tcPr>
          <w:p>
            <w:r>
              <w:rPr>
                <w:sz w:val="20"/>
              </w:rPr>
              <w:t>Class change (yes/no)</w:t>
            </w:r>
          </w:p>
        </w:tc>
      </w:tr>
      <w:tr>
        <w:tc>
          <w:tcPr>
            <w:tcW w:type="dxa" w:w="9071"/>
          </w:tcPr>
          <w:p>
            <w:r>
              <w:rPr>
                <w:sz w:val="20"/>
              </w:rPr>
              <w:t>Number of biopsies for patient</w:t>
            </w:r>
          </w:p>
        </w:tc>
      </w:tr>
      <w:tr>
        <w:tc>
          <w:tcPr>
            <w:tcW w:type="dxa" w:w="9071"/>
            <w:shd w:val="clear" w:color="auto" w:fill="F2F2F2"/>
          </w:tcPr>
          <w:p>
            <w:r>
              <w:rPr>
                <w:sz w:val="20"/>
              </w:rPr>
              <w:t>ANA (ever)</w:t>
            </w:r>
          </w:p>
        </w:tc>
      </w:tr>
    </w:tbl>
    <w:p/>
    <w:p>
      <w:pPr>
        <w:spacing w:after="120"/>
      </w:pPr>
      <w:r>
        <w:t>Post-selection corrections (manual, applied after automated pipeline):</w:t>
      </w:r>
    </w:p>
    <w:p>
      <w:pPr>
        <w:pStyle w:val="ListBullet"/>
        <w:spacing w:after="60"/>
        <w:ind w:left="340"/>
      </w:pPr>
      <w:r>
        <w:t>Age (Now) → replaced by Age at biopsy. Age Now reflected age at database compilation (~13.5 years post-biopsy on average) — not a valid baseline predictor.</w:t>
      </w:r>
    </w:p>
    <w:p>
      <w:pPr>
        <w:pStyle w:val="ListBullet"/>
        <w:spacing w:after="60"/>
        <w:ind w:left="340"/>
      </w:pPr>
      <w:r>
        <w:t>ANA (ever) → removed on clinical grounds (93.7% positive; near-zero discriminatory value even though not formally zeroed by LASSO at this C).</w:t>
      </w:r>
    </w:p>
    <w:p>
      <w:pPr>
        <w:pStyle w:val="ListBullet"/>
        <w:spacing w:after="60"/>
        <w:ind w:left="340"/>
      </w:pPr>
      <w:r>
        <w:t>ANCA tested within 6 months → removed. Originally 41.2% missing; MICE imputation of this binary column produced fractional values, making it unreliable.</w:t>
      </w:r>
    </w:p>
    <w:p>
      <w:pPr>
        <w:spacing w:after="120"/>
      </w:pPr>
      <w:r>
        <w:t>Candidate replacements were assessed by correlation with the existing feature set (r &lt; 0.80) and VIF &lt; 10:</w:t>
      </w:r>
    </w:p>
    <w:p>
      <w:pPr>
        <w:pStyle w:val="ListBullet"/>
        <w:spacing w:after="60"/>
        <w:ind w:left="340"/>
      </w:pPr>
      <w:r>
        <w:t>Biopsy number / ANA replacement: Proteinuria at biopsy (uPCR, log-transformed) — strongest correlation with outcome (r = 0.174), lowest VIF (1.19)</w:t>
      </w:r>
    </w:p>
    <w:p>
      <w:pPr>
        <w:pStyle w:val="ListBullet"/>
        <w:spacing w:after="60"/>
        <w:ind w:left="340"/>
      </w:pPr>
      <w:r>
        <w:t>ANCA replacement: C4 at biopsy — lowest max correlation with existing features (r = 0.290), VIF = 1.23</w:t>
      </w:r>
    </w:p>
    <w:p>
      <w:pPr>
        <w:spacing w:after="120"/>
      </w:pPr>
      <w:r>
        <w:t>Final 1-year predictors (9 variables, EPV = 11.0):</w:t>
      </w:r>
    </w:p>
    <w:tbl>
      <w:tblPr>
        <w:tblStyle w:val="TableGrid"/>
        <w:tblW w:type="auto" w:w="0"/>
        <w:jc w:val="center"/>
        <w:tblLook w:firstColumn="1" w:firstRow="1" w:lastColumn="0" w:lastRow="0" w:noHBand="0" w:noVBand="1" w:val="04A0"/>
      </w:tblPr>
      <w:tblGrid>
        <w:gridCol w:w="3022"/>
        <w:gridCol w:w="3022"/>
        <w:gridCol w:w="3022"/>
      </w:tblGrid>
      <w:tr>
        <w:tc>
          <w:tcPr>
            <w:tcW w:type="dxa" w:w="567"/>
            <w:shd w:val="clear" w:color="auto" w:fill="BDD7EE"/>
          </w:tcPr>
          <w:p>
            <w:r>
              <w:rPr>
                <w:b/>
                <w:sz w:val="20"/>
              </w:rPr>
              <w:t>#</w:t>
            </w:r>
          </w:p>
        </w:tc>
        <w:tc>
          <w:tcPr>
            <w:tcW w:type="dxa" w:w="4535"/>
            <w:shd w:val="clear" w:color="auto" w:fill="BDD7EE"/>
          </w:tcPr>
          <w:p>
            <w:r>
              <w:rPr>
                <w:b/>
                <w:sz w:val="20"/>
              </w:rPr>
              <w:t>Feature</w:t>
            </w:r>
          </w:p>
        </w:tc>
        <w:tc>
          <w:tcPr>
            <w:tcW w:type="dxa" w:w="2268"/>
            <w:shd w:val="clear" w:color="auto" w:fill="BDD7EE"/>
          </w:tcPr>
          <w:p>
            <w:r>
              <w:rPr>
                <w:b/>
                <w:sz w:val="20"/>
              </w:rPr>
              <w:t>Category</w:t>
            </w:r>
          </w:p>
        </w:tc>
      </w:tr>
      <w:tr>
        <w:tc>
          <w:tcPr>
            <w:tcW w:type="dxa" w:w="567"/>
          </w:tcPr>
          <w:p>
            <w:r>
              <w:rPr>
                <w:sz w:val="20"/>
              </w:rPr>
              <w:t>1</w:t>
            </w:r>
          </w:p>
        </w:tc>
        <w:tc>
          <w:tcPr>
            <w:tcW w:type="dxa" w:w="4535"/>
          </w:tcPr>
          <w:p>
            <w:r>
              <w:rPr>
                <w:sz w:val="20"/>
              </w:rPr>
              <w:t>% chronic gloms (% of total)</w:t>
            </w:r>
          </w:p>
        </w:tc>
        <w:tc>
          <w:tcPr>
            <w:tcW w:type="dxa" w:w="2268"/>
          </w:tcPr>
          <w:p>
            <w:r>
              <w:rPr>
                <w:sz w:val="20"/>
              </w:rPr>
              <w:t>Histopathology</w:t>
            </w:r>
          </w:p>
        </w:tc>
      </w:tr>
      <w:tr>
        <w:tc>
          <w:tcPr>
            <w:tcW w:type="dxa" w:w="567"/>
            <w:shd w:val="clear" w:color="auto" w:fill="F2F2F2"/>
          </w:tcPr>
          <w:p>
            <w:r>
              <w:rPr>
                <w:sz w:val="20"/>
              </w:rPr>
              <w:t>2</w:t>
            </w:r>
          </w:p>
        </w:tc>
        <w:tc>
          <w:tcPr>
            <w:tcW w:type="dxa" w:w="4535"/>
            <w:shd w:val="clear" w:color="auto" w:fill="F2F2F2"/>
          </w:tcPr>
          <w:p>
            <w:r>
              <w:rPr>
                <w:sz w:val="20"/>
              </w:rPr>
              <w:t>% gloms with necrosis</w:t>
            </w:r>
          </w:p>
        </w:tc>
        <w:tc>
          <w:tcPr>
            <w:tcW w:type="dxa" w:w="2268"/>
            <w:shd w:val="clear" w:color="auto" w:fill="F2F2F2"/>
          </w:tcPr>
          <w:p>
            <w:r>
              <w:rPr>
                <w:sz w:val="20"/>
              </w:rPr>
              <w:t>Histopathology</w:t>
            </w:r>
          </w:p>
        </w:tc>
      </w:tr>
      <w:tr>
        <w:tc>
          <w:tcPr>
            <w:tcW w:type="dxa" w:w="567"/>
          </w:tcPr>
          <w:p>
            <w:r>
              <w:rPr>
                <w:sz w:val="20"/>
              </w:rPr>
              <w:t>3</w:t>
            </w:r>
          </w:p>
        </w:tc>
        <w:tc>
          <w:tcPr>
            <w:tcW w:type="dxa" w:w="4535"/>
          </w:tcPr>
          <w:p>
            <w:r>
              <w:rPr>
                <w:sz w:val="20"/>
              </w:rPr>
              <w:t>LN class (coded 1–10)</w:t>
            </w:r>
          </w:p>
        </w:tc>
        <w:tc>
          <w:tcPr>
            <w:tcW w:type="dxa" w:w="2268"/>
          </w:tcPr>
          <w:p>
            <w:r>
              <w:rPr>
                <w:sz w:val="20"/>
              </w:rPr>
              <w:t>Histopathology</w:t>
            </w:r>
          </w:p>
        </w:tc>
      </w:tr>
      <w:tr>
        <w:tc>
          <w:tcPr>
            <w:tcW w:type="dxa" w:w="567"/>
            <w:shd w:val="clear" w:color="auto" w:fill="F2F2F2"/>
          </w:tcPr>
          <w:p>
            <w:r>
              <w:rPr>
                <w:sz w:val="20"/>
              </w:rPr>
              <w:t>4</w:t>
            </w:r>
          </w:p>
        </w:tc>
        <w:tc>
          <w:tcPr>
            <w:tcW w:type="dxa" w:w="4535"/>
            <w:shd w:val="clear" w:color="auto" w:fill="F2F2F2"/>
          </w:tcPr>
          <w:p>
            <w:r>
              <w:rPr>
                <w:sz w:val="20"/>
              </w:rPr>
              <w:t>% active gloms</w:t>
            </w:r>
          </w:p>
        </w:tc>
        <w:tc>
          <w:tcPr>
            <w:tcW w:type="dxa" w:w="2268"/>
            <w:shd w:val="clear" w:color="auto" w:fill="F2F2F2"/>
          </w:tcPr>
          <w:p>
            <w:r>
              <w:rPr>
                <w:sz w:val="20"/>
              </w:rPr>
              <w:t>Histopathology</w:t>
            </w:r>
          </w:p>
        </w:tc>
      </w:tr>
      <w:tr>
        <w:tc>
          <w:tcPr>
            <w:tcW w:type="dxa" w:w="567"/>
          </w:tcPr>
          <w:p>
            <w:r>
              <w:rPr>
                <w:sz w:val="20"/>
              </w:rPr>
              <w:t>5</w:t>
            </w:r>
          </w:p>
        </w:tc>
        <w:tc>
          <w:tcPr>
            <w:tcW w:type="dxa" w:w="4535"/>
          </w:tcPr>
          <w:p>
            <w:r>
              <w:rPr>
                <w:sz w:val="20"/>
              </w:rPr>
              <w:t>% gloms with crescents</w:t>
            </w:r>
          </w:p>
        </w:tc>
        <w:tc>
          <w:tcPr>
            <w:tcW w:type="dxa" w:w="2268"/>
          </w:tcPr>
          <w:p>
            <w:r>
              <w:rPr>
                <w:sz w:val="20"/>
              </w:rPr>
              <w:t>Histopathology</w:t>
            </w:r>
          </w:p>
        </w:tc>
      </w:tr>
      <w:tr>
        <w:tc>
          <w:tcPr>
            <w:tcW w:type="dxa" w:w="567"/>
            <w:shd w:val="clear" w:color="auto" w:fill="F2F2F2"/>
          </w:tcPr>
          <w:p>
            <w:r>
              <w:rPr>
                <w:sz w:val="20"/>
              </w:rPr>
              <w:t>6</w:t>
            </w:r>
          </w:p>
        </w:tc>
        <w:tc>
          <w:tcPr>
            <w:tcW w:type="dxa" w:w="4535"/>
            <w:shd w:val="clear" w:color="auto" w:fill="F2F2F2"/>
          </w:tcPr>
          <w:p>
            <w:r>
              <w:rPr>
                <w:sz w:val="20"/>
              </w:rPr>
              <w:t>Age at biopsy</w:t>
            </w:r>
          </w:p>
        </w:tc>
        <w:tc>
          <w:tcPr>
            <w:tcW w:type="dxa" w:w="2268"/>
            <w:shd w:val="clear" w:color="auto" w:fill="F2F2F2"/>
          </w:tcPr>
          <w:p>
            <w:r>
              <w:rPr>
                <w:sz w:val="20"/>
              </w:rPr>
              <w:t>Demographics</w:t>
            </w:r>
          </w:p>
        </w:tc>
      </w:tr>
      <w:tr>
        <w:tc>
          <w:tcPr>
            <w:tcW w:type="dxa" w:w="567"/>
          </w:tcPr>
          <w:p>
            <w:r>
              <w:rPr>
                <w:sz w:val="20"/>
              </w:rPr>
              <w:t>7</w:t>
            </w:r>
          </w:p>
        </w:tc>
        <w:tc>
          <w:tcPr>
            <w:tcW w:type="dxa" w:w="4535"/>
          </w:tcPr>
          <w:p>
            <w:r>
              <w:rPr>
                <w:sz w:val="20"/>
              </w:rPr>
              <w:t>Ethnicity</w:t>
            </w:r>
          </w:p>
        </w:tc>
        <w:tc>
          <w:tcPr>
            <w:tcW w:type="dxa" w:w="2268"/>
          </w:tcPr>
          <w:p>
            <w:r>
              <w:rPr>
                <w:sz w:val="20"/>
              </w:rPr>
              <w:t>Demographics</w:t>
            </w:r>
          </w:p>
        </w:tc>
      </w:tr>
      <w:tr>
        <w:tc>
          <w:tcPr>
            <w:tcW w:type="dxa" w:w="567"/>
            <w:shd w:val="clear" w:color="auto" w:fill="F2F2F2"/>
          </w:tcPr>
          <w:p>
            <w:r>
              <w:rPr>
                <w:sz w:val="20"/>
              </w:rPr>
              <w:t>8</w:t>
            </w:r>
          </w:p>
        </w:tc>
        <w:tc>
          <w:tcPr>
            <w:tcW w:type="dxa" w:w="4535"/>
            <w:shd w:val="clear" w:color="auto" w:fill="F2F2F2"/>
          </w:tcPr>
          <w:p>
            <w:r>
              <w:rPr>
                <w:sz w:val="20"/>
              </w:rPr>
              <w:t>Proteinuria at biopsy (uPCR, log-transformed)</w:t>
            </w:r>
          </w:p>
        </w:tc>
        <w:tc>
          <w:tcPr>
            <w:tcW w:type="dxa" w:w="2268"/>
            <w:shd w:val="clear" w:color="auto" w:fill="F2F2F2"/>
          </w:tcPr>
          <w:p>
            <w:r>
              <w:rPr>
                <w:sz w:val="20"/>
              </w:rPr>
              <w:t>Renal function</w:t>
            </w:r>
          </w:p>
        </w:tc>
      </w:tr>
      <w:tr>
        <w:tc>
          <w:tcPr>
            <w:tcW w:type="dxa" w:w="567"/>
          </w:tcPr>
          <w:p>
            <w:r>
              <w:rPr>
                <w:sz w:val="20"/>
              </w:rPr>
              <w:t>9</w:t>
            </w:r>
          </w:p>
        </w:tc>
        <w:tc>
          <w:tcPr>
            <w:tcW w:type="dxa" w:w="4535"/>
          </w:tcPr>
          <w:p>
            <w:r>
              <w:rPr>
                <w:sz w:val="20"/>
              </w:rPr>
              <w:t>C4 at biopsy</w:t>
            </w:r>
          </w:p>
        </w:tc>
        <w:tc>
          <w:tcPr>
            <w:tcW w:type="dxa" w:w="2268"/>
          </w:tcPr>
          <w:p>
            <w:r>
              <w:rPr>
                <w:sz w:val="20"/>
              </w:rPr>
              <w:t>Serology</w:t>
            </w:r>
          </w:p>
        </w:tc>
      </w:tr>
    </w:tbl>
    <w:p/>
    <w:p>
      <w:pPr>
        <w:pStyle w:val="Heading2"/>
        <w:spacing w:before="160" w:after="80"/>
      </w:pPr>
      <w:r>
        <w:t>4.4 5-Year Feature Selection  (src/5_year/04_feature_selection_5yr.py)</w:t>
      </w:r>
    </w:p>
    <w:p>
      <w:pPr>
        <w:spacing w:after="120"/>
      </w:pPr>
      <w:r>
        <w:t>The same pipeline was applied. The leakage list was expanded to additionally remove 1-year outcome variables (1-year proteinuria, 1-year creatinine/eGFR, 1-year steroid dose, 'flare by 1 year'). 79 columns were removed at Step 1.</w:t>
      </w:r>
    </w:p>
    <w:p>
      <w:pPr>
        <w:spacing w:after="120"/>
      </w:pPr>
      <w:r>
        <w:t>Step 3a: ANA (ever) removed (93.3% positive).</w:t>
      </w:r>
    </w:p>
    <w:p>
      <w:pPr>
        <w:spacing w:after="120"/>
      </w:pPr>
      <w:r>
        <w:t>Step 4 — High-correlation removal: Age at biopsy was removed (r=0.935 with Age Now). Further correlated pairs were removed iteratively.</w:t>
      </w:r>
    </w:p>
    <w:p>
      <w:pPr>
        <w:spacing w:after="120"/>
      </w:pPr>
      <w:r>
        <w:t>Step 5 — VIF removal: No variables exceeded VIF=10.</w:t>
      </w:r>
    </w:p>
    <w:p>
      <w:pPr>
        <w:spacing w:after="120"/>
      </w:pPr>
      <w:r>
        <w:t>Step 6 — LASSO (EPV_MAX = 15): C = 0.2 retained 13 non-zero features. Post-selection corrections:</w:t>
      </w:r>
    </w:p>
    <w:p>
      <w:pPr>
        <w:pStyle w:val="ListBullet"/>
        <w:spacing w:after="60"/>
        <w:ind w:left="340"/>
      </w:pPr>
      <w:r>
        <w:t>Removed Age (Now) → replaced by Age at biopsy (clinically appropriate baseline predictor)</w:t>
      </w:r>
    </w:p>
    <w:p>
      <w:pPr>
        <w:pStyle w:val="ListBullet"/>
        <w:spacing w:after="60"/>
        <w:ind w:left="340"/>
      </w:pPr>
      <w:r>
        <w:t>Removed Biopsy number for patient (proxy for disease duration)</w:t>
      </w:r>
    </w:p>
    <w:p>
      <w:pPr>
        <w:pStyle w:val="ListBullet"/>
        <w:spacing w:after="60"/>
        <w:ind w:left="340"/>
      </w:pPr>
      <w:r>
        <w:t>Removed Age at diagnosis SLE (r=0.826 with Age at biopsy — would fail correlation threshold)</w:t>
      </w:r>
    </w:p>
    <w:p>
      <w:pPr>
        <w:pStyle w:val="ListBullet"/>
        <w:spacing w:after="60"/>
        <w:ind w:left="340"/>
      </w:pPr>
      <w:r>
        <w:t>Removed dsDNA/SM/APL ever positive: 85.1% positive (just below 90% threshold), but clinical reasoning mirrors ANA removal — insufficient discriminatory gradient to justify inclusion</w:t>
      </w:r>
    </w:p>
    <w:p>
      <w:pPr>
        <w:spacing w:after="120"/>
      </w:pPr>
      <w:r>
        <w:t>Final 5-year predictors (10 variables, EPV = 16.6):</w:t>
      </w:r>
    </w:p>
    <w:tbl>
      <w:tblPr>
        <w:tblStyle w:val="TableGrid"/>
        <w:tblW w:type="auto" w:w="0"/>
        <w:jc w:val="center"/>
        <w:tblLook w:firstColumn="1" w:firstRow="1" w:lastColumn="0" w:lastRow="0" w:noHBand="0" w:noVBand="1" w:val="04A0"/>
      </w:tblPr>
      <w:tblGrid>
        <w:gridCol w:w="3022"/>
        <w:gridCol w:w="3022"/>
        <w:gridCol w:w="3022"/>
      </w:tblGrid>
      <w:tr>
        <w:tc>
          <w:tcPr>
            <w:tcW w:type="dxa" w:w="567"/>
            <w:shd w:val="clear" w:color="auto" w:fill="BDD7EE"/>
          </w:tcPr>
          <w:p>
            <w:r>
              <w:rPr>
                <w:b/>
                <w:sz w:val="20"/>
              </w:rPr>
              <w:t>#</w:t>
            </w:r>
          </w:p>
        </w:tc>
        <w:tc>
          <w:tcPr>
            <w:tcW w:type="dxa" w:w="4535"/>
            <w:shd w:val="clear" w:color="auto" w:fill="BDD7EE"/>
          </w:tcPr>
          <w:p>
            <w:r>
              <w:rPr>
                <w:b/>
                <w:sz w:val="20"/>
              </w:rPr>
              <w:t>Feature</w:t>
            </w:r>
          </w:p>
        </w:tc>
        <w:tc>
          <w:tcPr>
            <w:tcW w:type="dxa" w:w="2268"/>
            <w:shd w:val="clear" w:color="auto" w:fill="BDD7EE"/>
          </w:tcPr>
          <w:p>
            <w:r>
              <w:rPr>
                <w:b/>
                <w:sz w:val="20"/>
              </w:rPr>
              <w:t>Category</w:t>
            </w:r>
          </w:p>
        </w:tc>
      </w:tr>
      <w:tr>
        <w:tc>
          <w:tcPr>
            <w:tcW w:type="dxa" w:w="567"/>
          </w:tcPr>
          <w:p>
            <w:r>
              <w:rPr>
                <w:sz w:val="20"/>
              </w:rPr>
              <w:t>1</w:t>
            </w:r>
          </w:p>
        </w:tc>
        <w:tc>
          <w:tcPr>
            <w:tcW w:type="dxa" w:w="4535"/>
          </w:tcPr>
          <w:p>
            <w:r>
              <w:rPr>
                <w:sz w:val="20"/>
              </w:rPr>
              <w:t>% chronic gloms (% of total)</w:t>
            </w:r>
          </w:p>
        </w:tc>
        <w:tc>
          <w:tcPr>
            <w:tcW w:type="dxa" w:w="2268"/>
          </w:tcPr>
          <w:p>
            <w:r>
              <w:rPr>
                <w:sz w:val="20"/>
              </w:rPr>
              <w:t>Histopathology</w:t>
            </w:r>
          </w:p>
        </w:tc>
      </w:tr>
      <w:tr>
        <w:tc>
          <w:tcPr>
            <w:tcW w:type="dxa" w:w="567"/>
            <w:shd w:val="clear" w:color="auto" w:fill="F2F2F2"/>
          </w:tcPr>
          <w:p>
            <w:r>
              <w:rPr>
                <w:sz w:val="20"/>
              </w:rPr>
              <w:t>2</w:t>
            </w:r>
          </w:p>
        </w:tc>
        <w:tc>
          <w:tcPr>
            <w:tcW w:type="dxa" w:w="4535"/>
            <w:shd w:val="clear" w:color="auto" w:fill="F2F2F2"/>
          </w:tcPr>
          <w:p>
            <w:r>
              <w:rPr>
                <w:sz w:val="20"/>
              </w:rPr>
              <w:t>% gloms with necrosis</w:t>
            </w:r>
          </w:p>
        </w:tc>
        <w:tc>
          <w:tcPr>
            <w:tcW w:type="dxa" w:w="2268"/>
            <w:shd w:val="clear" w:color="auto" w:fill="F2F2F2"/>
          </w:tcPr>
          <w:p>
            <w:r>
              <w:rPr>
                <w:sz w:val="20"/>
              </w:rPr>
              <w:t>Histopathology</w:t>
            </w:r>
          </w:p>
        </w:tc>
      </w:tr>
      <w:tr>
        <w:tc>
          <w:tcPr>
            <w:tcW w:type="dxa" w:w="567"/>
          </w:tcPr>
          <w:p>
            <w:r>
              <w:rPr>
                <w:sz w:val="20"/>
              </w:rPr>
              <w:t>3</w:t>
            </w:r>
          </w:p>
        </w:tc>
        <w:tc>
          <w:tcPr>
            <w:tcW w:type="dxa" w:w="4535"/>
          </w:tcPr>
          <w:p>
            <w:r>
              <w:rPr>
                <w:sz w:val="20"/>
              </w:rPr>
              <w:t>LN class (coded 1–10)</w:t>
            </w:r>
          </w:p>
        </w:tc>
        <w:tc>
          <w:tcPr>
            <w:tcW w:type="dxa" w:w="2268"/>
          </w:tcPr>
          <w:p>
            <w:r>
              <w:rPr>
                <w:sz w:val="20"/>
              </w:rPr>
              <w:t>Histopathology</w:t>
            </w:r>
          </w:p>
        </w:tc>
      </w:tr>
      <w:tr>
        <w:tc>
          <w:tcPr>
            <w:tcW w:type="dxa" w:w="567"/>
            <w:shd w:val="clear" w:color="auto" w:fill="F2F2F2"/>
          </w:tcPr>
          <w:p>
            <w:r>
              <w:rPr>
                <w:sz w:val="20"/>
              </w:rPr>
              <w:t>4</w:t>
            </w:r>
          </w:p>
        </w:tc>
        <w:tc>
          <w:tcPr>
            <w:tcW w:type="dxa" w:w="4535"/>
            <w:shd w:val="clear" w:color="auto" w:fill="F2F2F2"/>
          </w:tcPr>
          <w:p>
            <w:r>
              <w:rPr>
                <w:sz w:val="20"/>
              </w:rPr>
              <w:t>% active gloms</w:t>
            </w:r>
          </w:p>
        </w:tc>
        <w:tc>
          <w:tcPr>
            <w:tcW w:type="dxa" w:w="2268"/>
            <w:shd w:val="clear" w:color="auto" w:fill="F2F2F2"/>
          </w:tcPr>
          <w:p>
            <w:r>
              <w:rPr>
                <w:sz w:val="20"/>
              </w:rPr>
              <w:t>Histopathology</w:t>
            </w:r>
          </w:p>
        </w:tc>
      </w:tr>
      <w:tr>
        <w:tc>
          <w:tcPr>
            <w:tcW w:type="dxa" w:w="567"/>
          </w:tcPr>
          <w:p>
            <w:r>
              <w:rPr>
                <w:sz w:val="20"/>
              </w:rPr>
              <w:t>5</w:t>
            </w:r>
          </w:p>
        </w:tc>
        <w:tc>
          <w:tcPr>
            <w:tcW w:type="dxa" w:w="4535"/>
          </w:tcPr>
          <w:p>
            <w:r>
              <w:rPr>
                <w:sz w:val="20"/>
              </w:rPr>
              <w:t>% sclerosed gloms</w:t>
            </w:r>
          </w:p>
        </w:tc>
        <w:tc>
          <w:tcPr>
            <w:tcW w:type="dxa" w:w="2268"/>
          </w:tcPr>
          <w:p>
            <w:r>
              <w:rPr>
                <w:sz w:val="20"/>
              </w:rPr>
              <w:t>Histopathology</w:t>
            </w:r>
          </w:p>
        </w:tc>
      </w:tr>
      <w:tr>
        <w:tc>
          <w:tcPr>
            <w:tcW w:type="dxa" w:w="567"/>
            <w:shd w:val="clear" w:color="auto" w:fill="F2F2F2"/>
          </w:tcPr>
          <w:p>
            <w:r>
              <w:rPr>
                <w:sz w:val="20"/>
              </w:rPr>
              <w:t>6</w:t>
            </w:r>
          </w:p>
        </w:tc>
        <w:tc>
          <w:tcPr>
            <w:tcW w:type="dxa" w:w="4535"/>
            <w:shd w:val="clear" w:color="auto" w:fill="F2F2F2"/>
          </w:tcPr>
          <w:p>
            <w:r>
              <w:rPr>
                <w:sz w:val="20"/>
              </w:rPr>
              <w:t>Age at biopsy</w:t>
            </w:r>
          </w:p>
        </w:tc>
        <w:tc>
          <w:tcPr>
            <w:tcW w:type="dxa" w:w="2268"/>
            <w:shd w:val="clear" w:color="auto" w:fill="F2F2F2"/>
          </w:tcPr>
          <w:p>
            <w:r>
              <w:rPr>
                <w:sz w:val="20"/>
              </w:rPr>
              <w:t>Demographics</w:t>
            </w:r>
          </w:p>
        </w:tc>
      </w:tr>
      <w:tr>
        <w:tc>
          <w:tcPr>
            <w:tcW w:type="dxa" w:w="567"/>
          </w:tcPr>
          <w:p>
            <w:r>
              <w:rPr>
                <w:sz w:val="20"/>
              </w:rPr>
              <w:t>7</w:t>
            </w:r>
          </w:p>
        </w:tc>
        <w:tc>
          <w:tcPr>
            <w:tcW w:type="dxa" w:w="4535"/>
          </w:tcPr>
          <w:p>
            <w:r>
              <w:rPr>
                <w:sz w:val="20"/>
              </w:rPr>
              <w:t>Ethnicity</w:t>
            </w:r>
          </w:p>
        </w:tc>
        <w:tc>
          <w:tcPr>
            <w:tcW w:type="dxa" w:w="2268"/>
          </w:tcPr>
          <w:p>
            <w:r>
              <w:rPr>
                <w:sz w:val="20"/>
              </w:rPr>
              <w:t>Demographics</w:t>
            </w:r>
          </w:p>
        </w:tc>
      </w:tr>
      <w:tr>
        <w:tc>
          <w:tcPr>
            <w:tcW w:type="dxa" w:w="567"/>
            <w:shd w:val="clear" w:color="auto" w:fill="F2F2F2"/>
          </w:tcPr>
          <w:p>
            <w:r>
              <w:rPr>
                <w:sz w:val="20"/>
              </w:rPr>
              <w:t>8</w:t>
            </w:r>
          </w:p>
        </w:tc>
        <w:tc>
          <w:tcPr>
            <w:tcW w:type="dxa" w:w="4535"/>
            <w:shd w:val="clear" w:color="auto" w:fill="F2F2F2"/>
          </w:tcPr>
          <w:p>
            <w:r>
              <w:rPr>
                <w:sz w:val="20"/>
              </w:rPr>
              <w:t>Reason for biopsy (coded 1–4)</w:t>
            </w:r>
          </w:p>
        </w:tc>
        <w:tc>
          <w:tcPr>
            <w:tcW w:type="dxa" w:w="2268"/>
            <w:shd w:val="clear" w:color="auto" w:fill="F2F2F2"/>
          </w:tcPr>
          <w:p>
            <w:r>
              <w:rPr>
                <w:sz w:val="20"/>
              </w:rPr>
              <w:t>Clinical context</w:t>
            </w:r>
          </w:p>
        </w:tc>
      </w:tr>
      <w:tr>
        <w:tc>
          <w:tcPr>
            <w:tcW w:type="dxa" w:w="567"/>
          </w:tcPr>
          <w:p>
            <w:r>
              <w:rPr>
                <w:sz w:val="20"/>
              </w:rPr>
              <w:t>9</w:t>
            </w:r>
          </w:p>
        </w:tc>
        <w:tc>
          <w:tcPr>
            <w:tcW w:type="dxa" w:w="4535"/>
          </w:tcPr>
          <w:p>
            <w:r>
              <w:rPr>
                <w:sz w:val="20"/>
              </w:rPr>
              <w:t>CKD-EPI eGFR (without ethnicity)</w:t>
            </w:r>
          </w:p>
        </w:tc>
        <w:tc>
          <w:tcPr>
            <w:tcW w:type="dxa" w:w="2268"/>
          </w:tcPr>
          <w:p>
            <w:r>
              <w:rPr>
                <w:sz w:val="20"/>
              </w:rPr>
              <w:t>Renal function</w:t>
            </w:r>
          </w:p>
        </w:tc>
      </w:tr>
      <w:tr>
        <w:tc>
          <w:tcPr>
            <w:tcW w:type="dxa" w:w="567"/>
            <w:shd w:val="clear" w:color="auto" w:fill="F2F2F2"/>
          </w:tcPr>
          <w:p>
            <w:r>
              <w:rPr>
                <w:sz w:val="20"/>
              </w:rPr>
              <w:t>10</w:t>
            </w:r>
          </w:p>
        </w:tc>
        <w:tc>
          <w:tcPr>
            <w:tcW w:type="dxa" w:w="4535"/>
            <w:shd w:val="clear" w:color="auto" w:fill="F2F2F2"/>
          </w:tcPr>
          <w:p>
            <w:r>
              <w:rPr>
                <w:sz w:val="20"/>
              </w:rPr>
              <w:t>Prev exposure to cyclophosphamide</w:t>
            </w:r>
          </w:p>
        </w:tc>
        <w:tc>
          <w:tcPr>
            <w:tcW w:type="dxa" w:w="2268"/>
            <w:shd w:val="clear" w:color="auto" w:fill="F2F2F2"/>
          </w:tcPr>
          <w:p>
            <w:r>
              <w:rPr>
                <w:sz w:val="20"/>
              </w:rPr>
              <w:t>Treatment history</w:t>
            </w:r>
          </w:p>
        </w:tc>
      </w:tr>
    </w:tbl>
    <w:p/>
    <w:p>
      <w:pPr>
        <w:pStyle w:val="Heading2"/>
        <w:spacing w:before="160" w:after="80"/>
      </w:pPr>
      <w:r>
        <w:t>4.5 Serial Biopsy Feature Selection  (src/5_year/10_serial_feature_selection_5yr.py)</w:t>
      </w:r>
    </w:p>
    <w:p>
      <w:pPr>
        <w:spacing w:after="120"/>
      </w:pPr>
      <w:r>
        <w:t>The serial dataset entered the pipeline with 24 predictor columns (7 raw deltas, 7 time-normalised deltas, time_between_bx_months, and 9 single-biopsy predictors). EPV_MAX = 4 (34 events).</w:t>
      </w:r>
    </w:p>
    <w:p>
      <w:pPr>
        <w:spacing w:after="120"/>
      </w:pPr>
      <w:r>
        <w:t>Step 3b: delta_ln_class_per_month removed (variance = 0.003).</w:t>
      </w:r>
    </w:p>
    <w:p>
      <w:pPr>
        <w:spacing w:after="120"/>
      </w:pPr>
      <w:r>
        <w:t>Step 4 — High-correlation removal: No pairs exceeded r = 0.80.</w:t>
      </w:r>
    </w:p>
    <w:p>
      <w:pPr>
        <w:spacing w:after="120"/>
      </w:pPr>
      <w:r>
        <w:t>Step 5 — VIF removal: % sclerosed gloms removed (VIF = 11.63). Max VIF after removal: 6.42.</w:t>
      </w:r>
    </w:p>
    <w:p>
      <w:pPr>
        <w:spacing w:after="120"/>
      </w:pPr>
      <w:r>
        <w:t>Step 6 — LASSO (EPV_MAX = 4): C search printed explicitly. The path showed a sharp discontinuity — 12 features at C=0.5, then 2 features at C=0.2 — with no intermediate C yielding 3 or 4 features. C=0.2 was selected as the first C achieving ≤4 features.</w:t>
      </w:r>
    </w:p>
    <w:tbl>
      <w:tblPr>
        <w:tblStyle w:val="TableGrid"/>
        <w:tblW w:type="auto" w:w="0"/>
        <w:jc w:val="center"/>
        <w:tblLook w:firstColumn="1" w:firstRow="1" w:lastColumn="0" w:lastRow="0" w:noHBand="0" w:noVBand="1" w:val="04A0"/>
      </w:tblPr>
      <w:tblGrid>
        <w:gridCol w:w="4533"/>
        <w:gridCol w:w="4533"/>
      </w:tblGrid>
      <w:tr>
        <w:tc>
          <w:tcPr>
            <w:tcW w:type="dxa" w:w="2268"/>
            <w:shd w:val="clear" w:color="auto" w:fill="BDD7EE"/>
          </w:tcPr>
          <w:p>
            <w:r>
              <w:rPr>
                <w:b/>
                <w:sz w:val="20"/>
              </w:rPr>
              <w:t>C value</w:t>
            </w:r>
          </w:p>
        </w:tc>
        <w:tc>
          <w:tcPr>
            <w:tcW w:type="dxa" w:w="2835"/>
            <w:shd w:val="clear" w:color="auto" w:fill="BDD7EE"/>
          </w:tcPr>
          <w:p>
            <w:r>
              <w:rPr>
                <w:b/>
                <w:sz w:val="20"/>
              </w:rPr>
              <w:t>Non-zero features</w:t>
            </w:r>
          </w:p>
        </w:tc>
      </w:tr>
      <w:tr>
        <w:tc>
          <w:tcPr>
            <w:tcW w:type="dxa" w:w="2268"/>
          </w:tcPr>
          <w:p>
            <w:r>
              <w:rPr>
                <w:sz w:val="20"/>
              </w:rPr>
              <w:t>1.0</w:t>
            </w:r>
          </w:p>
        </w:tc>
        <w:tc>
          <w:tcPr>
            <w:tcW w:type="dxa" w:w="2835"/>
          </w:tcPr>
          <w:p>
            <w:r>
              <w:rPr>
                <w:sz w:val="20"/>
              </w:rPr>
              <w:t>15</w:t>
            </w:r>
          </w:p>
        </w:tc>
      </w:tr>
      <w:tr>
        <w:tc>
          <w:tcPr>
            <w:tcW w:type="dxa" w:w="2268"/>
            <w:shd w:val="clear" w:color="auto" w:fill="F2F2F2"/>
          </w:tcPr>
          <w:p>
            <w:r>
              <w:rPr>
                <w:sz w:val="20"/>
              </w:rPr>
              <w:t>0.5</w:t>
            </w:r>
          </w:p>
        </w:tc>
        <w:tc>
          <w:tcPr>
            <w:tcW w:type="dxa" w:w="2835"/>
            <w:shd w:val="clear" w:color="auto" w:fill="F2F2F2"/>
          </w:tcPr>
          <w:p>
            <w:r>
              <w:rPr>
                <w:sz w:val="20"/>
              </w:rPr>
              <w:t>12</w:t>
            </w:r>
          </w:p>
        </w:tc>
      </w:tr>
      <w:tr>
        <w:tc>
          <w:tcPr>
            <w:tcW w:type="dxa" w:w="2268"/>
          </w:tcPr>
          <w:p>
            <w:r>
              <w:rPr>
                <w:sz w:val="20"/>
              </w:rPr>
              <w:t>0.2</w:t>
            </w:r>
          </w:p>
        </w:tc>
        <w:tc>
          <w:tcPr>
            <w:tcW w:type="dxa" w:w="2835"/>
          </w:tcPr>
          <w:p>
            <w:r>
              <w:rPr>
                <w:sz w:val="20"/>
              </w:rPr>
              <w:t>2  ← selected</w:t>
            </w:r>
          </w:p>
        </w:tc>
      </w:tr>
      <w:tr>
        <w:tc>
          <w:tcPr>
            <w:tcW w:type="dxa" w:w="2268"/>
            <w:shd w:val="clear" w:color="auto" w:fill="F2F2F2"/>
          </w:tcPr>
          <w:p>
            <w:r>
              <w:rPr>
                <w:sz w:val="20"/>
              </w:rPr>
              <w:t>0.1</w:t>
            </w:r>
          </w:p>
        </w:tc>
        <w:tc>
          <w:tcPr>
            <w:tcW w:type="dxa" w:w="2835"/>
            <w:shd w:val="clear" w:color="auto" w:fill="F2F2F2"/>
          </w:tcPr>
          <w:p>
            <w:r>
              <w:rPr>
                <w:sz w:val="20"/>
              </w:rPr>
              <w:t>1</w:t>
            </w:r>
          </w:p>
        </w:tc>
      </w:tr>
      <w:tr>
        <w:tc>
          <w:tcPr>
            <w:tcW w:type="dxa" w:w="2268"/>
          </w:tcPr>
          <w:p>
            <w:r>
              <w:rPr>
                <w:sz w:val="20"/>
              </w:rPr>
              <w:t>≤0.05</w:t>
            </w:r>
          </w:p>
        </w:tc>
        <w:tc>
          <w:tcPr>
            <w:tcW w:type="dxa" w:w="2835"/>
          </w:tcPr>
          <w:p>
            <w:r>
              <w:rPr>
                <w:sz w:val="20"/>
              </w:rPr>
              <w:t>0</w:t>
            </w:r>
          </w:p>
        </w:tc>
      </w:tr>
    </w:tbl>
    <w:p/>
    <w:p>
      <w:pPr>
        <w:spacing w:after="120"/>
      </w:pPr>
      <w:r>
        <w:t>Final serial biopsy predictors (2 variables, EPV = 17.0):</w:t>
      </w:r>
    </w:p>
    <w:tbl>
      <w:tblPr>
        <w:tblStyle w:val="TableGrid"/>
        <w:tblW w:type="auto" w:w="0"/>
        <w:jc w:val="center"/>
        <w:tblLook w:firstColumn="1" w:firstRow="1" w:lastColumn="0" w:lastRow="0" w:noHBand="0" w:noVBand="1" w:val="04A0"/>
      </w:tblPr>
      <w:tblGrid>
        <w:gridCol w:w="3022"/>
        <w:gridCol w:w="3022"/>
        <w:gridCol w:w="3022"/>
      </w:tblGrid>
      <w:tr>
        <w:tc>
          <w:tcPr>
            <w:tcW w:type="dxa" w:w="567"/>
            <w:shd w:val="clear" w:color="auto" w:fill="BDD7EE"/>
          </w:tcPr>
          <w:p>
            <w:r>
              <w:rPr>
                <w:b/>
                <w:sz w:val="20"/>
              </w:rPr>
              <w:t>#</w:t>
            </w:r>
          </w:p>
        </w:tc>
        <w:tc>
          <w:tcPr>
            <w:tcW w:type="dxa" w:w="3402"/>
            <w:shd w:val="clear" w:color="auto" w:fill="BDD7EE"/>
          </w:tcPr>
          <w:p>
            <w:r>
              <w:rPr>
                <w:b/>
                <w:sz w:val="20"/>
              </w:rPr>
              <w:t>Feature</w:t>
            </w:r>
          </w:p>
        </w:tc>
        <w:tc>
          <w:tcPr>
            <w:tcW w:type="dxa" w:w="4535"/>
            <w:shd w:val="clear" w:color="auto" w:fill="BDD7EE"/>
          </w:tcPr>
          <w:p>
            <w:r>
              <w:rPr>
                <w:b/>
                <w:sz w:val="20"/>
              </w:rPr>
              <w:t>LASSO coefficient</w:t>
            </w:r>
          </w:p>
        </w:tc>
      </w:tr>
      <w:tr>
        <w:tc>
          <w:tcPr>
            <w:tcW w:type="dxa" w:w="567"/>
          </w:tcPr>
          <w:p>
            <w:r>
              <w:rPr>
                <w:sz w:val="20"/>
              </w:rPr>
              <w:t>1</w:t>
            </w:r>
          </w:p>
        </w:tc>
        <w:tc>
          <w:tcPr>
            <w:tcW w:type="dxa" w:w="3402"/>
          </w:tcPr>
          <w:p>
            <w:r>
              <w:rPr>
                <w:sz w:val="20"/>
              </w:rPr>
              <w:t>% chronic gloms (% of total)</w:t>
            </w:r>
          </w:p>
        </w:tc>
        <w:tc>
          <w:tcPr>
            <w:tcW w:type="dxa" w:w="4535"/>
          </w:tcPr>
          <w:p>
            <w:r>
              <w:rPr>
                <w:sz w:val="20"/>
              </w:rPr>
              <w:t>+0.291  (higher chronicity → higher flare risk)</w:t>
            </w:r>
          </w:p>
        </w:tc>
      </w:tr>
      <w:tr>
        <w:tc>
          <w:tcPr>
            <w:tcW w:type="dxa" w:w="567"/>
            <w:shd w:val="clear" w:color="auto" w:fill="F2F2F2"/>
          </w:tcPr>
          <w:p>
            <w:r>
              <w:rPr>
                <w:sz w:val="20"/>
              </w:rPr>
              <w:t>2</w:t>
            </w:r>
          </w:p>
        </w:tc>
        <w:tc>
          <w:tcPr>
            <w:tcW w:type="dxa" w:w="3402"/>
            <w:shd w:val="clear" w:color="auto" w:fill="F2F2F2"/>
          </w:tcPr>
          <w:p>
            <w:r>
              <w:rPr>
                <w:sz w:val="20"/>
              </w:rPr>
              <w:t>Time between biopsies (months)</w:t>
            </w:r>
          </w:p>
        </w:tc>
        <w:tc>
          <w:tcPr>
            <w:tcW w:type="dxa" w:w="4535"/>
            <w:shd w:val="clear" w:color="auto" w:fill="F2F2F2"/>
          </w:tcPr>
          <w:p>
            <w:r>
              <w:rPr>
                <w:sz w:val="20"/>
              </w:rPr>
              <w:t>−0.042  (longer interval → lower flare risk)</w:t>
            </w:r>
          </w:p>
        </w:tc>
      </w:tr>
    </w:tbl>
    <w:p/>
    <w:p>
      <w:pPr>
        <w:pStyle w:val="Heading2"/>
        <w:spacing w:before="160" w:after="80"/>
      </w:pPr>
      <w:r>
        <w:t>4.6 ESRD Feature Selection  (src/esrd/00_esrd_feature_selection.py)</w:t>
      </w:r>
    </w:p>
    <w:p>
      <w:pPr>
        <w:spacing w:after="120"/>
      </w:pPr>
      <w:r>
        <w:t>The same 6-step automated pipeline was applied to both ESRD cohorts. After leakage removal, numeric coercion, and MICE imputation, the pipeline proceeded identically to the flare analyses. Additional leakage keywords specific to ESRD were added (e.g. 'at last follow', 'post bx', 'creatinine 1 year', '1year', 'immunostaining') to catch follow-up measurements present in the raw data. The manual correction 'Age (Now)' → 'Age at biopsy' was also applied (same as flare).</w:t>
      </w:r>
    </w:p>
    <w:p>
      <w:pPr>
        <w:spacing w:after="120"/>
      </w:pPr>
      <w:r>
        <w:t>ESRD 5-Year — final 5 features (EPV = 22.4, EPV_MAX = 11):</w:t>
      </w:r>
    </w:p>
    <w:tbl>
      <w:tblPr>
        <w:tblStyle w:val="TableGrid"/>
        <w:tblW w:type="auto" w:w="0"/>
        <w:jc w:val="center"/>
        <w:tblLook w:firstColumn="1" w:firstRow="1" w:lastColumn="0" w:lastRow="0" w:noHBand="0" w:noVBand="1" w:val="04A0"/>
      </w:tblPr>
      <w:tblGrid>
        <w:gridCol w:w="3022"/>
        <w:gridCol w:w="3022"/>
        <w:gridCol w:w="3022"/>
      </w:tblGrid>
      <w:tr>
        <w:tc>
          <w:tcPr>
            <w:tcW w:type="dxa" w:w="567"/>
            <w:shd w:val="clear" w:color="auto" w:fill="BDD7EE"/>
          </w:tcPr>
          <w:p>
            <w:r>
              <w:rPr>
                <w:b/>
                <w:sz w:val="20"/>
              </w:rPr>
              <w:t>#</w:t>
            </w:r>
          </w:p>
        </w:tc>
        <w:tc>
          <w:tcPr>
            <w:tcW w:type="dxa" w:w="4535"/>
            <w:shd w:val="clear" w:color="auto" w:fill="BDD7EE"/>
          </w:tcPr>
          <w:p>
            <w:r>
              <w:rPr>
                <w:b/>
                <w:sz w:val="20"/>
              </w:rPr>
              <w:t>Feature</w:t>
            </w:r>
          </w:p>
        </w:tc>
        <w:tc>
          <w:tcPr>
            <w:tcW w:type="dxa" w:w="2268"/>
            <w:shd w:val="clear" w:color="auto" w:fill="BDD7EE"/>
          </w:tcPr>
          <w:p>
            <w:r>
              <w:rPr>
                <w:b/>
                <w:sz w:val="20"/>
              </w:rPr>
              <w:t>Category</w:t>
            </w:r>
          </w:p>
        </w:tc>
      </w:tr>
      <w:tr>
        <w:tc>
          <w:tcPr>
            <w:tcW w:type="dxa" w:w="567"/>
          </w:tcPr>
          <w:p>
            <w:r>
              <w:rPr>
                <w:sz w:val="20"/>
              </w:rPr>
              <w:t>1</w:t>
            </w:r>
          </w:p>
        </w:tc>
        <w:tc>
          <w:tcPr>
            <w:tcW w:type="dxa" w:w="4535"/>
          </w:tcPr>
          <w:p>
            <w:r>
              <w:rPr>
                <w:sz w:val="20"/>
              </w:rPr>
              <w:t>Creatinine at biopsy</w:t>
            </w:r>
          </w:p>
        </w:tc>
        <w:tc>
          <w:tcPr>
            <w:tcW w:type="dxa" w:w="2268"/>
          </w:tcPr>
          <w:p>
            <w:r>
              <w:rPr>
                <w:sz w:val="20"/>
              </w:rPr>
              <w:t>Renal function</w:t>
            </w:r>
          </w:p>
        </w:tc>
      </w:tr>
      <w:tr>
        <w:tc>
          <w:tcPr>
            <w:tcW w:type="dxa" w:w="567"/>
            <w:shd w:val="clear" w:color="auto" w:fill="F2F2F2"/>
          </w:tcPr>
          <w:p>
            <w:r>
              <w:rPr>
                <w:sz w:val="20"/>
              </w:rPr>
              <w:t>2</w:t>
            </w:r>
          </w:p>
        </w:tc>
        <w:tc>
          <w:tcPr>
            <w:tcW w:type="dxa" w:w="4535"/>
            <w:shd w:val="clear" w:color="auto" w:fill="F2F2F2"/>
          </w:tcPr>
          <w:p>
            <w:r>
              <w:rPr>
                <w:sz w:val="20"/>
              </w:rPr>
              <w:t>%IFTA</w:t>
            </w:r>
          </w:p>
        </w:tc>
        <w:tc>
          <w:tcPr>
            <w:tcW w:type="dxa" w:w="2268"/>
            <w:shd w:val="clear" w:color="auto" w:fill="F2F2F2"/>
          </w:tcPr>
          <w:p>
            <w:r>
              <w:rPr>
                <w:sz w:val="20"/>
              </w:rPr>
              <w:t>Histopathology</w:t>
            </w:r>
          </w:p>
        </w:tc>
      </w:tr>
      <w:tr>
        <w:tc>
          <w:tcPr>
            <w:tcW w:type="dxa" w:w="567"/>
          </w:tcPr>
          <w:p>
            <w:r>
              <w:rPr>
                <w:sz w:val="20"/>
              </w:rPr>
              <w:t>3</w:t>
            </w:r>
          </w:p>
        </w:tc>
        <w:tc>
          <w:tcPr>
            <w:tcW w:type="dxa" w:w="4535"/>
          </w:tcPr>
          <w:p>
            <w:r>
              <w:rPr>
                <w:sz w:val="20"/>
              </w:rPr>
              <w:t>CKD-EPI eGFR (without ethnicity)</w:t>
            </w:r>
          </w:p>
        </w:tc>
        <w:tc>
          <w:tcPr>
            <w:tcW w:type="dxa" w:w="2268"/>
          </w:tcPr>
          <w:p>
            <w:r>
              <w:rPr>
                <w:sz w:val="20"/>
              </w:rPr>
              <w:t>Renal function</w:t>
            </w:r>
          </w:p>
        </w:tc>
      </w:tr>
      <w:tr>
        <w:tc>
          <w:tcPr>
            <w:tcW w:type="dxa" w:w="567"/>
            <w:shd w:val="clear" w:color="auto" w:fill="F2F2F2"/>
          </w:tcPr>
          <w:p>
            <w:r>
              <w:rPr>
                <w:sz w:val="20"/>
              </w:rPr>
              <w:t>4</w:t>
            </w:r>
          </w:p>
        </w:tc>
        <w:tc>
          <w:tcPr>
            <w:tcW w:type="dxa" w:w="4535"/>
            <w:shd w:val="clear" w:color="auto" w:fill="F2F2F2"/>
          </w:tcPr>
          <w:p>
            <w:r>
              <w:rPr>
                <w:sz w:val="20"/>
              </w:rPr>
              <w:t>% chronic gloms (% of total)</w:t>
            </w:r>
          </w:p>
        </w:tc>
        <w:tc>
          <w:tcPr>
            <w:tcW w:type="dxa" w:w="2268"/>
            <w:shd w:val="clear" w:color="auto" w:fill="F2F2F2"/>
          </w:tcPr>
          <w:p>
            <w:r>
              <w:rPr>
                <w:sz w:val="20"/>
              </w:rPr>
              <w:t>Histopathology</w:t>
            </w:r>
          </w:p>
        </w:tc>
      </w:tr>
      <w:tr>
        <w:tc>
          <w:tcPr>
            <w:tcW w:type="dxa" w:w="567"/>
          </w:tcPr>
          <w:p>
            <w:r>
              <w:rPr>
                <w:sz w:val="20"/>
              </w:rPr>
              <w:t>5</w:t>
            </w:r>
          </w:p>
        </w:tc>
        <w:tc>
          <w:tcPr>
            <w:tcW w:type="dxa" w:w="4535"/>
          </w:tcPr>
          <w:p>
            <w:r>
              <w:rPr>
                <w:sz w:val="20"/>
              </w:rPr>
              <w:t>Subepithelial deposit category</w:t>
            </w:r>
          </w:p>
        </w:tc>
        <w:tc>
          <w:tcPr>
            <w:tcW w:type="dxa" w:w="2268"/>
          </w:tcPr>
          <w:p>
            <w:r>
              <w:rPr>
                <w:sz w:val="20"/>
              </w:rPr>
              <w:t>Histopathology (EM)</w:t>
            </w:r>
          </w:p>
        </w:tc>
      </w:tr>
    </w:tbl>
    <w:p/>
    <w:p>
      <w:pPr>
        <w:spacing w:after="120"/>
      </w:pPr>
      <w:r>
        <w:t>LASSO selected 5 features — well within the EPV_MAX=11 cap (EPV=22.4). Features reflect established markers of chronic renal damage and immune complex deposition.</w:t>
      </w:r>
    </w:p>
    <w:p>
      <w:pPr>
        <w:spacing w:after="120"/>
      </w:pPr>
      <w:r>
        <w:t>ESRD 10-Year — final 17 features (EPV = 10.3, EPV_MAX = 17):</w:t>
      </w:r>
    </w:p>
    <w:tbl>
      <w:tblPr>
        <w:tblStyle w:val="TableGrid"/>
        <w:tblW w:type="auto" w:w="0"/>
        <w:jc w:val="center"/>
        <w:tblLook w:firstColumn="1" w:firstRow="1" w:lastColumn="0" w:lastRow="0" w:noHBand="0" w:noVBand="1" w:val="04A0"/>
      </w:tblPr>
      <w:tblGrid>
        <w:gridCol w:w="3022"/>
        <w:gridCol w:w="3022"/>
        <w:gridCol w:w="3022"/>
      </w:tblGrid>
      <w:tr>
        <w:tc>
          <w:tcPr>
            <w:tcW w:type="dxa" w:w="567"/>
            <w:shd w:val="clear" w:color="auto" w:fill="BDD7EE"/>
          </w:tcPr>
          <w:p>
            <w:r>
              <w:rPr>
                <w:b/>
                <w:sz w:val="20"/>
              </w:rPr>
              <w:t>#</w:t>
            </w:r>
          </w:p>
        </w:tc>
        <w:tc>
          <w:tcPr>
            <w:tcW w:type="dxa" w:w="4535"/>
            <w:shd w:val="clear" w:color="auto" w:fill="BDD7EE"/>
          </w:tcPr>
          <w:p>
            <w:r>
              <w:rPr>
                <w:b/>
                <w:sz w:val="20"/>
              </w:rPr>
              <w:t>Feature</w:t>
            </w:r>
          </w:p>
        </w:tc>
        <w:tc>
          <w:tcPr>
            <w:tcW w:type="dxa" w:w="2268"/>
            <w:shd w:val="clear" w:color="auto" w:fill="BDD7EE"/>
          </w:tcPr>
          <w:p>
            <w:r>
              <w:rPr>
                <w:b/>
                <w:sz w:val="20"/>
              </w:rPr>
              <w:t>Category</w:t>
            </w:r>
          </w:p>
        </w:tc>
      </w:tr>
      <w:tr>
        <w:tc>
          <w:tcPr>
            <w:tcW w:type="dxa" w:w="567"/>
          </w:tcPr>
          <w:p>
            <w:r>
              <w:rPr>
                <w:sz w:val="20"/>
              </w:rPr>
              <w:t>1</w:t>
            </w:r>
          </w:p>
        </w:tc>
        <w:tc>
          <w:tcPr>
            <w:tcW w:type="dxa" w:w="4535"/>
          </w:tcPr>
          <w:p>
            <w:r>
              <w:rPr>
                <w:sz w:val="20"/>
              </w:rPr>
              <w:t>Age at biopsy</w:t>
            </w:r>
          </w:p>
        </w:tc>
        <w:tc>
          <w:tcPr>
            <w:tcW w:type="dxa" w:w="2268"/>
          </w:tcPr>
          <w:p>
            <w:r>
              <w:rPr>
                <w:sz w:val="20"/>
              </w:rPr>
              <w:t>Demographics</w:t>
            </w:r>
          </w:p>
        </w:tc>
      </w:tr>
      <w:tr>
        <w:tc>
          <w:tcPr>
            <w:tcW w:type="dxa" w:w="567"/>
            <w:shd w:val="clear" w:color="auto" w:fill="F2F2F2"/>
          </w:tcPr>
          <w:p>
            <w:r>
              <w:rPr>
                <w:sz w:val="20"/>
              </w:rPr>
              <w:t>2</w:t>
            </w:r>
          </w:p>
        </w:tc>
        <w:tc>
          <w:tcPr>
            <w:tcW w:type="dxa" w:w="4535"/>
            <w:shd w:val="clear" w:color="auto" w:fill="F2F2F2"/>
          </w:tcPr>
          <w:p>
            <w:r>
              <w:rPr>
                <w:sz w:val="20"/>
              </w:rPr>
              <w:t>%IFTA</w:t>
            </w:r>
          </w:p>
        </w:tc>
        <w:tc>
          <w:tcPr>
            <w:tcW w:type="dxa" w:w="2268"/>
            <w:shd w:val="clear" w:color="auto" w:fill="F2F2F2"/>
          </w:tcPr>
          <w:p>
            <w:r>
              <w:rPr>
                <w:sz w:val="20"/>
              </w:rPr>
              <w:t>Histopathology</w:t>
            </w:r>
          </w:p>
        </w:tc>
      </w:tr>
      <w:tr>
        <w:tc>
          <w:tcPr>
            <w:tcW w:type="dxa" w:w="567"/>
          </w:tcPr>
          <w:p>
            <w:r>
              <w:rPr>
                <w:sz w:val="20"/>
              </w:rPr>
              <w:t>3</w:t>
            </w:r>
          </w:p>
        </w:tc>
        <w:tc>
          <w:tcPr>
            <w:tcW w:type="dxa" w:w="4535"/>
          </w:tcPr>
          <w:p>
            <w:r>
              <w:rPr>
                <w:sz w:val="20"/>
              </w:rPr>
              <w:t>Creatinine at biopsy</w:t>
            </w:r>
          </w:p>
        </w:tc>
        <w:tc>
          <w:tcPr>
            <w:tcW w:type="dxa" w:w="2268"/>
          </w:tcPr>
          <w:p>
            <w:r>
              <w:rPr>
                <w:sz w:val="20"/>
              </w:rPr>
              <w:t>Renal function</w:t>
            </w:r>
          </w:p>
        </w:tc>
      </w:tr>
      <w:tr>
        <w:tc>
          <w:tcPr>
            <w:tcW w:type="dxa" w:w="567"/>
            <w:shd w:val="clear" w:color="auto" w:fill="F2F2F2"/>
          </w:tcPr>
          <w:p>
            <w:r>
              <w:rPr>
                <w:sz w:val="20"/>
              </w:rPr>
              <w:t>4</w:t>
            </w:r>
          </w:p>
        </w:tc>
        <w:tc>
          <w:tcPr>
            <w:tcW w:type="dxa" w:w="4535"/>
            <w:shd w:val="clear" w:color="auto" w:fill="F2F2F2"/>
          </w:tcPr>
          <w:p>
            <w:r>
              <w:rPr>
                <w:sz w:val="20"/>
              </w:rPr>
              <w:t>% chronic gloms (% of total)</w:t>
            </w:r>
          </w:p>
        </w:tc>
        <w:tc>
          <w:tcPr>
            <w:tcW w:type="dxa" w:w="2268"/>
            <w:shd w:val="clear" w:color="auto" w:fill="F2F2F2"/>
          </w:tcPr>
          <w:p>
            <w:r>
              <w:rPr>
                <w:sz w:val="20"/>
              </w:rPr>
              <w:t>Histopathology</w:t>
            </w:r>
          </w:p>
        </w:tc>
      </w:tr>
      <w:tr>
        <w:tc>
          <w:tcPr>
            <w:tcW w:type="dxa" w:w="567"/>
          </w:tcPr>
          <w:p>
            <w:r>
              <w:rPr>
                <w:sz w:val="20"/>
              </w:rPr>
              <w:t>5</w:t>
            </w:r>
          </w:p>
        </w:tc>
        <w:tc>
          <w:tcPr>
            <w:tcW w:type="dxa" w:w="4535"/>
          </w:tcPr>
          <w:p>
            <w:r>
              <w:rPr>
                <w:sz w:val="20"/>
              </w:rPr>
              <w:t>Crescents (Yes/No)</w:t>
            </w:r>
          </w:p>
        </w:tc>
        <w:tc>
          <w:tcPr>
            <w:tcW w:type="dxa" w:w="2268"/>
          </w:tcPr>
          <w:p>
            <w:r>
              <w:rPr>
                <w:sz w:val="20"/>
              </w:rPr>
              <w:t>Histopathology</w:t>
            </w:r>
          </w:p>
        </w:tc>
      </w:tr>
      <w:tr>
        <w:tc>
          <w:tcPr>
            <w:tcW w:type="dxa" w:w="567"/>
            <w:shd w:val="clear" w:color="auto" w:fill="F2F2F2"/>
          </w:tcPr>
          <w:p>
            <w:r>
              <w:rPr>
                <w:sz w:val="20"/>
              </w:rPr>
              <w:t>6</w:t>
            </w:r>
          </w:p>
        </w:tc>
        <w:tc>
          <w:tcPr>
            <w:tcW w:type="dxa" w:w="4535"/>
            <w:shd w:val="clear" w:color="auto" w:fill="F2F2F2"/>
          </w:tcPr>
          <w:p>
            <w:r>
              <w:rPr>
                <w:sz w:val="20"/>
              </w:rPr>
              <w:t>CKD-EPI eGFR (without ethnicity)</w:t>
            </w:r>
          </w:p>
        </w:tc>
        <w:tc>
          <w:tcPr>
            <w:tcW w:type="dxa" w:w="2268"/>
            <w:shd w:val="clear" w:color="auto" w:fill="F2F2F2"/>
          </w:tcPr>
          <w:p>
            <w:r>
              <w:rPr>
                <w:sz w:val="20"/>
              </w:rPr>
              <w:t>Renal function</w:t>
            </w:r>
          </w:p>
        </w:tc>
      </w:tr>
      <w:tr>
        <w:tc>
          <w:tcPr>
            <w:tcW w:type="dxa" w:w="567"/>
          </w:tcPr>
          <w:p>
            <w:r>
              <w:rPr>
                <w:sz w:val="20"/>
              </w:rPr>
              <w:t>7</w:t>
            </w:r>
          </w:p>
        </w:tc>
        <w:tc>
          <w:tcPr>
            <w:tcW w:type="dxa" w:w="4535"/>
          </w:tcPr>
          <w:p>
            <w:r>
              <w:rPr>
                <w:sz w:val="20"/>
              </w:rPr>
              <w:t>TMA (Yes/No)</w:t>
            </w:r>
          </w:p>
        </w:tc>
        <w:tc>
          <w:tcPr>
            <w:tcW w:type="dxa" w:w="2268"/>
          </w:tcPr>
          <w:p>
            <w:r>
              <w:rPr>
                <w:sz w:val="20"/>
              </w:rPr>
              <w:t>Histopathology</w:t>
            </w:r>
          </w:p>
        </w:tc>
      </w:tr>
      <w:tr>
        <w:tc>
          <w:tcPr>
            <w:tcW w:type="dxa" w:w="567"/>
            <w:shd w:val="clear" w:color="auto" w:fill="F2F2F2"/>
          </w:tcPr>
          <w:p>
            <w:r>
              <w:rPr>
                <w:sz w:val="20"/>
              </w:rPr>
              <w:t>8</w:t>
            </w:r>
          </w:p>
        </w:tc>
        <w:tc>
          <w:tcPr>
            <w:tcW w:type="dxa" w:w="4535"/>
            <w:shd w:val="clear" w:color="auto" w:fill="F2F2F2"/>
          </w:tcPr>
          <w:p>
            <w:r>
              <w:rPr>
                <w:sz w:val="20"/>
              </w:rPr>
              <w:t>LN class (coded 1–10)</w:t>
            </w:r>
          </w:p>
        </w:tc>
        <w:tc>
          <w:tcPr>
            <w:tcW w:type="dxa" w:w="2268"/>
            <w:shd w:val="clear" w:color="auto" w:fill="F2F2F2"/>
          </w:tcPr>
          <w:p>
            <w:r>
              <w:rPr>
                <w:sz w:val="20"/>
              </w:rPr>
              <w:t>Histopathology</w:t>
            </w:r>
          </w:p>
        </w:tc>
      </w:tr>
      <w:tr>
        <w:tc>
          <w:tcPr>
            <w:tcW w:type="dxa" w:w="567"/>
          </w:tcPr>
          <w:p>
            <w:r>
              <w:rPr>
                <w:sz w:val="20"/>
              </w:rPr>
              <w:t>9</w:t>
            </w:r>
          </w:p>
        </w:tc>
        <w:tc>
          <w:tcPr>
            <w:tcW w:type="dxa" w:w="4535"/>
          </w:tcPr>
          <w:p>
            <w:r>
              <w:rPr>
                <w:sz w:val="20"/>
              </w:rPr>
              <w:t>C3 at biopsy</w:t>
            </w:r>
          </w:p>
        </w:tc>
        <w:tc>
          <w:tcPr>
            <w:tcW w:type="dxa" w:w="2268"/>
          </w:tcPr>
          <w:p>
            <w:r>
              <w:rPr>
                <w:sz w:val="20"/>
              </w:rPr>
              <w:t>Serology</w:t>
            </w:r>
          </w:p>
        </w:tc>
      </w:tr>
      <w:tr>
        <w:tc>
          <w:tcPr>
            <w:tcW w:type="dxa" w:w="567"/>
            <w:shd w:val="clear" w:color="auto" w:fill="F2F2F2"/>
          </w:tcPr>
          <w:p>
            <w:r>
              <w:rPr>
                <w:sz w:val="20"/>
              </w:rPr>
              <w:t>10</w:t>
            </w:r>
          </w:p>
        </w:tc>
        <w:tc>
          <w:tcPr>
            <w:tcW w:type="dxa" w:w="4535"/>
            <w:shd w:val="clear" w:color="auto" w:fill="F2F2F2"/>
          </w:tcPr>
          <w:p>
            <w:r>
              <w:rPr>
                <w:sz w:val="20"/>
              </w:rPr>
              <w:t>C4 low (binary)</w:t>
            </w:r>
          </w:p>
        </w:tc>
        <w:tc>
          <w:tcPr>
            <w:tcW w:type="dxa" w:w="2268"/>
            <w:shd w:val="clear" w:color="auto" w:fill="F2F2F2"/>
          </w:tcPr>
          <w:p>
            <w:r>
              <w:rPr>
                <w:sz w:val="20"/>
              </w:rPr>
              <w:t>Serology</w:t>
            </w:r>
          </w:p>
        </w:tc>
      </w:tr>
      <w:tr>
        <w:tc>
          <w:tcPr>
            <w:tcW w:type="dxa" w:w="567"/>
          </w:tcPr>
          <w:p>
            <w:r>
              <w:rPr>
                <w:sz w:val="20"/>
              </w:rPr>
              <w:t>11</w:t>
            </w:r>
          </w:p>
        </w:tc>
        <w:tc>
          <w:tcPr>
            <w:tcW w:type="dxa" w:w="4535"/>
          </w:tcPr>
          <w:p>
            <w:r>
              <w:rPr>
                <w:sz w:val="20"/>
              </w:rPr>
              <w:t>Prior cyclophosphamide exposure</w:t>
            </w:r>
          </w:p>
        </w:tc>
        <w:tc>
          <w:tcPr>
            <w:tcW w:type="dxa" w:w="2268"/>
          </w:tcPr>
          <w:p>
            <w:r>
              <w:rPr>
                <w:sz w:val="20"/>
              </w:rPr>
              <w:t>Treatment history</w:t>
            </w:r>
          </w:p>
        </w:tc>
      </w:tr>
      <w:tr>
        <w:tc>
          <w:tcPr>
            <w:tcW w:type="dxa" w:w="567"/>
            <w:shd w:val="clear" w:color="auto" w:fill="F2F2F2"/>
          </w:tcPr>
          <w:p>
            <w:r>
              <w:rPr>
                <w:sz w:val="20"/>
              </w:rPr>
              <w:t>12</w:t>
            </w:r>
          </w:p>
        </w:tc>
        <w:tc>
          <w:tcPr>
            <w:tcW w:type="dxa" w:w="4535"/>
            <w:shd w:val="clear" w:color="auto" w:fill="F2F2F2"/>
          </w:tcPr>
          <w:p>
            <w:r>
              <w:rPr>
                <w:sz w:val="20"/>
              </w:rPr>
              <w:t>Gender</w:t>
            </w:r>
          </w:p>
        </w:tc>
        <w:tc>
          <w:tcPr>
            <w:tcW w:type="dxa" w:w="2268"/>
            <w:shd w:val="clear" w:color="auto" w:fill="F2F2F2"/>
          </w:tcPr>
          <w:p>
            <w:r>
              <w:rPr>
                <w:sz w:val="20"/>
              </w:rPr>
              <w:t>Demographics</w:t>
            </w:r>
          </w:p>
        </w:tc>
      </w:tr>
      <w:tr>
        <w:tc>
          <w:tcPr>
            <w:tcW w:type="dxa" w:w="567"/>
          </w:tcPr>
          <w:p>
            <w:r>
              <w:rPr>
                <w:sz w:val="20"/>
              </w:rPr>
              <w:t>13</w:t>
            </w:r>
          </w:p>
        </w:tc>
        <w:tc>
          <w:tcPr>
            <w:tcW w:type="dxa" w:w="4535"/>
          </w:tcPr>
          <w:p>
            <w:r>
              <w:rPr>
                <w:sz w:val="20"/>
              </w:rPr>
              <w:t>Subepithelial deposit category</w:t>
            </w:r>
          </w:p>
        </w:tc>
        <w:tc>
          <w:tcPr>
            <w:tcW w:type="dxa" w:w="2268"/>
          </w:tcPr>
          <w:p>
            <w:r>
              <w:rPr>
                <w:sz w:val="20"/>
              </w:rPr>
              <w:t>Histopathology (EM)</w:t>
            </w:r>
          </w:p>
        </w:tc>
      </w:tr>
      <w:tr>
        <w:tc>
          <w:tcPr>
            <w:tcW w:type="dxa" w:w="567"/>
            <w:shd w:val="clear" w:color="auto" w:fill="F2F2F2"/>
          </w:tcPr>
          <w:p>
            <w:r>
              <w:rPr>
                <w:sz w:val="20"/>
              </w:rPr>
              <w:t>14</w:t>
            </w:r>
          </w:p>
        </w:tc>
        <w:tc>
          <w:tcPr>
            <w:tcW w:type="dxa" w:w="4535"/>
            <w:shd w:val="clear" w:color="auto" w:fill="F2F2F2"/>
          </w:tcPr>
          <w:p>
            <w:r>
              <w:rPr>
                <w:sz w:val="20"/>
              </w:rPr>
              <w:t>Cap wall IgM</w:t>
            </w:r>
          </w:p>
        </w:tc>
        <w:tc>
          <w:tcPr>
            <w:tcW w:type="dxa" w:w="2268"/>
            <w:shd w:val="clear" w:color="auto" w:fill="F2F2F2"/>
          </w:tcPr>
          <w:p>
            <w:r>
              <w:rPr>
                <w:sz w:val="20"/>
              </w:rPr>
              <w:t>Histopathology (IF)</w:t>
            </w:r>
          </w:p>
        </w:tc>
      </w:tr>
      <w:tr>
        <w:tc>
          <w:tcPr>
            <w:tcW w:type="dxa" w:w="567"/>
          </w:tcPr>
          <w:p>
            <w:r>
              <w:rPr>
                <w:sz w:val="20"/>
              </w:rPr>
              <w:t>15</w:t>
            </w:r>
          </w:p>
        </w:tc>
        <w:tc>
          <w:tcPr>
            <w:tcW w:type="dxa" w:w="4535"/>
          </w:tcPr>
          <w:p>
            <w:r>
              <w:rPr>
                <w:sz w:val="20"/>
              </w:rPr>
              <w:t>No. globally sclerosed gloms</w:t>
            </w:r>
          </w:p>
        </w:tc>
        <w:tc>
          <w:tcPr>
            <w:tcW w:type="dxa" w:w="2268"/>
          </w:tcPr>
          <w:p>
            <w:r>
              <w:rPr>
                <w:sz w:val="20"/>
              </w:rPr>
              <w:t>Histopathology</w:t>
            </w:r>
          </w:p>
        </w:tc>
      </w:tr>
      <w:tr>
        <w:tc>
          <w:tcPr>
            <w:tcW w:type="dxa" w:w="567"/>
            <w:shd w:val="clear" w:color="auto" w:fill="F2F2F2"/>
          </w:tcPr>
          <w:p>
            <w:r>
              <w:rPr>
                <w:sz w:val="20"/>
              </w:rPr>
              <w:t>16</w:t>
            </w:r>
          </w:p>
        </w:tc>
        <w:tc>
          <w:tcPr>
            <w:tcW w:type="dxa" w:w="4535"/>
            <w:shd w:val="clear" w:color="auto" w:fill="F2F2F2"/>
          </w:tcPr>
          <w:p>
            <w:r>
              <w:rPr>
                <w:sz w:val="20"/>
              </w:rPr>
              <w:t>Biopsy number for patient</w:t>
            </w:r>
          </w:p>
        </w:tc>
        <w:tc>
          <w:tcPr>
            <w:tcW w:type="dxa" w:w="2268"/>
            <w:shd w:val="clear" w:color="auto" w:fill="F2F2F2"/>
          </w:tcPr>
          <w:p>
            <w:r>
              <w:rPr>
                <w:sz w:val="20"/>
              </w:rPr>
              <w:t>Clinical context</w:t>
            </w:r>
          </w:p>
        </w:tc>
      </w:tr>
      <w:tr>
        <w:tc>
          <w:tcPr>
            <w:tcW w:type="dxa" w:w="567"/>
          </w:tcPr>
          <w:p>
            <w:r>
              <w:rPr>
                <w:sz w:val="20"/>
              </w:rPr>
              <w:t>17</w:t>
            </w:r>
          </w:p>
        </w:tc>
        <w:tc>
          <w:tcPr>
            <w:tcW w:type="dxa" w:w="4535"/>
          </w:tcPr>
          <w:p>
            <w:r>
              <w:rPr>
                <w:sz w:val="20"/>
              </w:rPr>
              <w:t>No. gloms with crescents</w:t>
            </w:r>
          </w:p>
        </w:tc>
        <w:tc>
          <w:tcPr>
            <w:tcW w:type="dxa" w:w="2268"/>
          </w:tcPr>
          <w:p>
            <w:r>
              <w:rPr>
                <w:sz w:val="20"/>
              </w:rPr>
              <w:t>Histopathology</w:t>
            </w:r>
          </w:p>
        </w:tc>
      </w:tr>
    </w:tbl>
    <w:p/>
    <w:p>
      <w:pPr>
        <w:spacing w:after="120"/>
      </w:pPr>
      <w:r>
        <w:t>LASSO selected exactly 17 features — at the EPV_MAX cap (EPV=10.3). The larger feature set at 10 years reflects the greater number of events (175) and broader range of predictors that retain discriminatory value over a longer horizon.</w:t>
      </w:r>
    </w:p>
    <w:p>
      <w:pPr>
        <w:pStyle w:val="Heading1"/>
        <w:spacing w:before="280" w:after="80"/>
      </w:pPr>
      <w:r>
        <w:t>5. Class Imbalance Handling</w:t>
      </w:r>
    </w:p>
    <w:p>
      <w:pPr>
        <w:spacing w:after="120"/>
      </w:pPr>
      <w:r>
        <w:t>Class imbalance was addressed in all four classifiers across all analyses. The approach differed by algorithm:</w:t>
      </w:r>
    </w:p>
    <w:p>
      <w:pPr>
        <w:pStyle w:val="ListBullet"/>
        <w:spacing w:after="60"/>
        <w:ind w:left="340"/>
      </w:pPr>
      <w:r>
        <w:t>Logistic Regression, Random Forest, LightGBM: class_weight='balanced' — sklearn automatically scales class weights inversely proportional to class frequencies</w:t>
      </w:r>
    </w:p>
    <w:p>
      <w:pPr>
        <w:pStyle w:val="ListBullet"/>
        <w:spacing w:after="60"/>
        <w:ind w:left="340"/>
      </w:pPr>
      <w:r>
        <w:t>XGBoost: scale_pos_weight = (number of negative cases) / (number of positive cases) — equivalent mechanism for gradient boosting</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984"/>
            <w:shd w:val="clear" w:color="auto" w:fill="BDD7EE"/>
          </w:tcPr>
          <w:p>
            <w:r>
              <w:rPr>
                <w:b/>
                <w:sz w:val="20"/>
              </w:rPr>
              <w:t>Cohort</w:t>
            </w:r>
          </w:p>
        </w:tc>
        <w:tc>
          <w:tcPr>
            <w:tcW w:type="dxa" w:w="1701"/>
            <w:shd w:val="clear" w:color="auto" w:fill="BDD7EE"/>
          </w:tcPr>
          <w:p>
            <w:r>
              <w:rPr>
                <w:b/>
                <w:sz w:val="20"/>
              </w:rPr>
              <w:t>Event rate</w:t>
            </w:r>
          </w:p>
        </w:tc>
        <w:tc>
          <w:tcPr>
            <w:tcW w:type="dxa" w:w="3118"/>
            <w:shd w:val="clear" w:color="auto" w:fill="BDD7EE"/>
          </w:tcPr>
          <w:p>
            <w:r>
              <w:rPr>
                <w:b/>
                <w:sz w:val="20"/>
              </w:rPr>
              <w:t>LR / RF / LGBM</w:t>
            </w:r>
          </w:p>
        </w:tc>
        <w:tc>
          <w:tcPr>
            <w:tcW w:type="dxa" w:w="2835"/>
            <w:shd w:val="clear" w:color="auto" w:fill="BDD7EE"/>
          </w:tcPr>
          <w:p>
            <w:r>
              <w:rPr>
                <w:b/>
                <w:sz w:val="20"/>
              </w:rPr>
              <w:t>XGBoost scale_pos_weight</w:t>
            </w:r>
          </w:p>
        </w:tc>
      </w:tr>
      <w:tr>
        <w:tc>
          <w:tcPr>
            <w:tcW w:type="dxa" w:w="1984"/>
          </w:tcPr>
          <w:p>
            <w:r>
              <w:rPr>
                <w:sz w:val="20"/>
              </w:rPr>
              <w:t>1-Year flare</w:t>
            </w:r>
          </w:p>
        </w:tc>
        <w:tc>
          <w:tcPr>
            <w:tcW w:type="dxa" w:w="1701"/>
          </w:tcPr>
          <w:p>
            <w:r>
              <w:rPr>
                <w:sz w:val="20"/>
              </w:rPr>
              <w:t>23.0%</w:t>
            </w:r>
          </w:p>
        </w:tc>
        <w:tc>
          <w:tcPr>
            <w:tcW w:type="dxa" w:w="3118"/>
          </w:tcPr>
          <w:p>
            <w:r>
              <w:rPr>
                <w:sz w:val="20"/>
              </w:rPr>
              <w:t>class_weight='balanced'</w:t>
            </w:r>
          </w:p>
        </w:tc>
        <w:tc>
          <w:tcPr>
            <w:tcW w:type="dxa" w:w="2835"/>
          </w:tcPr>
          <w:p>
            <w:r>
              <w:rPr>
                <w:sz w:val="20"/>
              </w:rPr>
              <w:t>331 / 99 = 3.34</w:t>
            </w:r>
          </w:p>
        </w:tc>
      </w:tr>
      <w:tr>
        <w:tc>
          <w:tcPr>
            <w:tcW w:type="dxa" w:w="1984"/>
            <w:shd w:val="clear" w:color="auto" w:fill="F2F2F2"/>
          </w:tcPr>
          <w:p>
            <w:r>
              <w:rPr>
                <w:sz w:val="20"/>
              </w:rPr>
              <w:t>5-Year flare</w:t>
            </w:r>
          </w:p>
        </w:tc>
        <w:tc>
          <w:tcPr>
            <w:tcW w:type="dxa" w:w="1701"/>
            <w:shd w:val="clear" w:color="auto" w:fill="F2F2F2"/>
          </w:tcPr>
          <w:p>
            <w:r>
              <w:rPr>
                <w:sz w:val="20"/>
              </w:rPr>
              <w:t>46.6%</w:t>
            </w:r>
          </w:p>
        </w:tc>
        <w:tc>
          <w:tcPr>
            <w:tcW w:type="dxa" w:w="3118"/>
            <w:shd w:val="clear" w:color="auto" w:fill="F2F2F2"/>
          </w:tcPr>
          <w:p>
            <w:r>
              <w:rPr>
                <w:sz w:val="20"/>
              </w:rPr>
              <w:t>class_weight='balanced'</w:t>
            </w:r>
          </w:p>
        </w:tc>
        <w:tc>
          <w:tcPr>
            <w:tcW w:type="dxa" w:w="2835"/>
            <w:shd w:val="clear" w:color="auto" w:fill="F2F2F2"/>
          </w:tcPr>
          <w:p>
            <w:r>
              <w:rPr>
                <w:sz w:val="20"/>
              </w:rPr>
              <w:t>190 / 166 = 1.14</w:t>
            </w:r>
          </w:p>
        </w:tc>
      </w:tr>
      <w:tr>
        <w:tc>
          <w:tcPr>
            <w:tcW w:type="dxa" w:w="1984"/>
          </w:tcPr>
          <w:p>
            <w:r>
              <w:rPr>
                <w:sz w:val="20"/>
              </w:rPr>
              <w:t>Serial biopsy</w:t>
            </w:r>
          </w:p>
        </w:tc>
        <w:tc>
          <w:tcPr>
            <w:tcW w:type="dxa" w:w="1701"/>
          </w:tcPr>
          <w:p>
            <w:r>
              <w:rPr>
                <w:sz w:val="20"/>
              </w:rPr>
              <w:t>48.6%</w:t>
            </w:r>
          </w:p>
        </w:tc>
        <w:tc>
          <w:tcPr>
            <w:tcW w:type="dxa" w:w="3118"/>
          </w:tcPr>
          <w:p>
            <w:r>
              <w:rPr>
                <w:sz w:val="20"/>
              </w:rPr>
              <w:t>class_weight='balanced'</w:t>
            </w:r>
          </w:p>
        </w:tc>
        <w:tc>
          <w:tcPr>
            <w:tcW w:type="dxa" w:w="2835"/>
          </w:tcPr>
          <w:p>
            <w:r>
              <w:rPr>
                <w:sz w:val="20"/>
              </w:rPr>
              <w:t>36 / 34 = 1.06</w:t>
            </w:r>
          </w:p>
        </w:tc>
      </w:tr>
      <w:tr>
        <w:tc>
          <w:tcPr>
            <w:tcW w:type="dxa" w:w="1984"/>
            <w:shd w:val="clear" w:color="auto" w:fill="F2F2F2"/>
          </w:tcPr>
          <w:p>
            <w:r>
              <w:rPr>
                <w:sz w:val="20"/>
              </w:rPr>
              <w:t>ESRD 5-Year</w:t>
            </w:r>
          </w:p>
        </w:tc>
        <w:tc>
          <w:tcPr>
            <w:tcW w:type="dxa" w:w="1701"/>
            <w:shd w:val="clear" w:color="auto" w:fill="F2F2F2"/>
          </w:tcPr>
          <w:p>
            <w:r>
              <w:rPr>
                <w:sz w:val="20"/>
              </w:rPr>
              <w:t>14.1%</w:t>
            </w:r>
          </w:p>
        </w:tc>
        <w:tc>
          <w:tcPr>
            <w:tcW w:type="dxa" w:w="3118"/>
            <w:shd w:val="clear" w:color="auto" w:fill="F2F2F2"/>
          </w:tcPr>
          <w:p>
            <w:r>
              <w:rPr>
                <w:sz w:val="20"/>
              </w:rPr>
              <w:t>class_weight='balanced'</w:t>
            </w:r>
          </w:p>
        </w:tc>
        <w:tc>
          <w:tcPr>
            <w:tcW w:type="dxa" w:w="2835"/>
            <w:shd w:val="clear" w:color="auto" w:fill="F2F2F2"/>
          </w:tcPr>
          <w:p>
            <w:r>
              <w:rPr>
                <w:sz w:val="20"/>
              </w:rPr>
              <w:t>684 / 112 = 6.11</w:t>
            </w:r>
          </w:p>
        </w:tc>
      </w:tr>
      <w:tr>
        <w:tc>
          <w:tcPr>
            <w:tcW w:type="dxa" w:w="1984"/>
          </w:tcPr>
          <w:p>
            <w:r>
              <w:rPr>
                <w:sz w:val="20"/>
              </w:rPr>
              <w:t>ESRD 10-Year</w:t>
            </w:r>
          </w:p>
        </w:tc>
        <w:tc>
          <w:tcPr>
            <w:tcW w:type="dxa" w:w="1701"/>
          </w:tcPr>
          <w:p>
            <w:r>
              <w:rPr>
                <w:sz w:val="20"/>
              </w:rPr>
              <w:t>22.0%</w:t>
            </w:r>
          </w:p>
        </w:tc>
        <w:tc>
          <w:tcPr>
            <w:tcW w:type="dxa" w:w="3118"/>
          </w:tcPr>
          <w:p>
            <w:r>
              <w:rPr>
                <w:sz w:val="20"/>
              </w:rPr>
              <w:t>class_weight='balanced'</w:t>
            </w:r>
          </w:p>
        </w:tc>
        <w:tc>
          <w:tcPr>
            <w:tcW w:type="dxa" w:w="2835"/>
          </w:tcPr>
          <w:p>
            <w:r>
              <w:rPr>
                <w:sz w:val="20"/>
              </w:rPr>
              <w:t>621 / 175 = 3.55</w:t>
            </w:r>
          </w:p>
        </w:tc>
      </w:tr>
    </w:tbl>
    <w:p/>
    <w:p>
      <w:pPr>
        <w:spacing w:after="120"/>
      </w:pPr>
      <w:r>
        <w:t>The serial biopsy cohort was nearly balanced (48.6% event rate), so weighting had minimal effect. The 1-year cohort and ESRD 5-year cohort had the most pronounced imbalances, where class weighting was most important.</w:t>
      </w:r>
    </w:p>
    <w:p>
      <w:pPr>
        <w:pStyle w:val="Heading1"/>
        <w:spacing w:before="280" w:after="80"/>
      </w:pPr>
      <w:r>
        <w:t>6. Model Development and Evaluation</w:t>
      </w:r>
    </w:p>
    <w:p>
      <w:pPr>
        <w:pStyle w:val="Heading2"/>
        <w:spacing w:before="160" w:after="80"/>
      </w:pPr>
      <w:r>
        <w:t>6.1 Algorithms</w:t>
      </w:r>
    </w:p>
    <w:p>
      <w:pPr>
        <w:spacing w:after="120"/>
      </w:pPr>
      <w:r>
        <w:t>Four classifiers were developed for each cohort, all wrapped in a StandardScaler pipeline to ensure features were on the same scale before fitting:</w:t>
      </w:r>
    </w:p>
    <w:p>
      <w:pPr>
        <w:pStyle w:val="ListBullet"/>
        <w:spacing w:after="60"/>
        <w:ind w:left="340"/>
      </w:pPr>
      <w:r>
        <w:t>Logistic Regression (sklearn) — linear, interpretable baseline; C=1.0 (no regularisation beyond class weighting)</w:t>
      </w:r>
    </w:p>
    <w:p>
      <w:pPr>
        <w:pStyle w:val="ListBullet"/>
        <w:spacing w:after="60"/>
        <w:ind w:left="340"/>
      </w:pPr>
      <w:r>
        <w:t>Random Forest (sklearn) — ensemble of decision trees with bagging</w:t>
      </w:r>
    </w:p>
    <w:p>
      <w:pPr>
        <w:pStyle w:val="ListBullet"/>
        <w:spacing w:after="60"/>
        <w:ind w:left="340"/>
      </w:pPr>
      <w:r>
        <w:t>XGBoost — gradient-boosted trees with L1/L2 regularisation</w:t>
      </w:r>
    </w:p>
    <w:p>
      <w:pPr>
        <w:pStyle w:val="ListBullet"/>
        <w:spacing w:after="60"/>
        <w:ind w:left="340"/>
      </w:pPr>
      <w:r>
        <w:t>LightGBM — leaf-wise gradient boosting with histogram-based splits</w:t>
      </w:r>
    </w:p>
    <w:p>
      <w:pPr>
        <w:pStyle w:val="Heading2"/>
        <w:spacing w:before="160" w:after="80"/>
      </w:pPr>
      <w:r>
        <w:t>6.2 Hyperparameter Tuning</w:t>
      </w:r>
    </w:p>
    <w:p>
      <w:pPr>
        <w:spacing w:after="120"/>
      </w:pPr>
      <w:r>
        <w:t>Logistic Regression was not tuned (C=1.0 fixed). Random Forest, XGBoost, and LightGBM were tuned using RandomizedSearchCV (n_iter=40 for 1yr/5yr/ESRD; n_iter=20 for serial). Scoring metric: AUROC. Inner CV: stratified k-fold (5-fold for 1yr/5yr/ESRD; 3-fold for serial due to small n).</w:t>
      </w:r>
    </w:p>
    <w:p>
      <w:pPr>
        <w:spacing w:after="120"/>
      </w:pPr>
      <w:r>
        <w:t>XGBoost was constrained to prevent overfitting observed in preliminary runs (apparent bootstrap AUROC = 1.000 on unconstrained grid):</w:t>
      </w:r>
    </w:p>
    <w:p>
      <w:pPr>
        <w:pStyle w:val="ListBullet"/>
        <w:spacing w:after="60"/>
        <w:ind w:left="340"/>
      </w:pPr>
      <w:r>
        <w:t>max_depth: 2–3 only</w:t>
      </w:r>
    </w:p>
    <w:p>
      <w:pPr>
        <w:pStyle w:val="ListBullet"/>
        <w:spacing w:after="60"/>
        <w:ind w:left="340"/>
      </w:pPr>
      <w:r>
        <w:t>min_child_weight: ≥5 (1yr/5yr/ESRD) or ≥3 (serial)</w:t>
      </w:r>
    </w:p>
    <w:p>
      <w:pPr>
        <w:pStyle w:val="ListBullet"/>
        <w:spacing w:after="60"/>
        <w:ind w:left="340"/>
      </w:pPr>
      <w:r>
        <w:t>subsample and colsample_bytree: ≤0.7</w:t>
      </w:r>
    </w:p>
    <w:p>
      <w:pPr>
        <w:pStyle w:val="ListBullet"/>
        <w:spacing w:after="60"/>
        <w:ind w:left="340"/>
      </w:pPr>
      <w:r>
        <w:t>reg_alpha (L1) and reg_lambda (L2): explicit non-zero ranges</w:t>
      </w:r>
    </w:p>
    <w:p>
      <w:pPr>
        <w:spacing w:after="120"/>
      </w:pPr>
      <w:r>
        <w:t>Best hyperparameters — 1-Year cohort:</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300 / 3 / 10 / sqrt</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100 / 3 / 0.01 / 0.5 / 0.6 / 1.0 / 1.0 / 10</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200 / 2 / 0.01 / 0.8 / 15 / 10</w:t>
            </w:r>
          </w:p>
        </w:tc>
      </w:tr>
    </w:tbl>
    <w:p/>
    <w:p>
      <w:pPr>
        <w:spacing w:after="120"/>
      </w:pPr>
      <w:r>
        <w:t>Best hyperparameters — 5-Year cohort:</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200 / 3 / 5 / 0.5</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100 / 2 / 0.01 / 0.5 / 0.5 / 2.0 / 10.0 / 5</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100 / 3 / 0.01 / 0.7 / 15 / 10</w:t>
            </w:r>
          </w:p>
        </w:tc>
      </w:tr>
    </w:tbl>
    <w:p/>
    <w:p>
      <w:pPr>
        <w:spacing w:after="120"/>
      </w:pPr>
      <w:r>
        <w:t>Best hyperparameters — Serial biopsy cohort:</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100 / 2 / 5 / sqrt</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100 / 2 / 0.01 / 0.5 / 0.7 / 2.0 / 5.0 / 3</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50 / 3 / 0.01 / 1.0 / 31 / 20</w:t>
            </w:r>
          </w:p>
        </w:tc>
      </w:tr>
    </w:tbl>
    <w:p/>
    <w:p>
      <w:pPr>
        <w:spacing w:after="120"/>
      </w:pPr>
      <w:r>
        <w:t>ESRD 5-year and 10-year were tuned over the same RandomizedSearchCV grid (shown below), but the search was run independently for each horizon and selected different best values (src/esrd/00_esrd_feature_selection.py).</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Search space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200/300/500 / 3/5/7/None / 5/10/20 / sqrt/0.5/0.7</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min_child_w / reg_α / reg_λ</w:t>
            </w:r>
          </w:p>
        </w:tc>
        <w:tc>
          <w:tcPr>
            <w:tcW w:type="dxa" w:w="2835"/>
            <w:shd w:val="clear" w:color="auto" w:fill="F2F2F2"/>
          </w:tcPr>
          <w:p>
            <w:r>
              <w:rPr>
                <w:sz w:val="20"/>
              </w:rPr>
              <w:t>100/200 / 2/3 / 0.01/0.05 / 0.5/0.6 / 0.5/0.6 / 5/10/15 / 0.1/1/2 / 1/5/10</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100/200/300 / 2/3/4 / 0.01/0.05/0.1 / 0.7/0.8/1.0 / 15/31/63 / 10/20/30</w:t>
            </w:r>
          </w:p>
        </w:tc>
      </w:tr>
    </w:tbl>
    <w:p/>
    <w:p>
      <w:pPr>
        <w:spacing w:after="120"/>
      </w:pPr>
      <w:r>
        <w:t>Best hyperparameters — ESRD 5-Year cohort:</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200 / 3 / 20 / 0.5</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200 / 2 / 0.01 / 0.6 / 0.5 / 0.1 / 10.0 / 5</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300 / 2 / 0.01 / 0.7 / 15 / 30</w:t>
            </w:r>
          </w:p>
        </w:tc>
      </w:tr>
    </w:tbl>
    <w:p/>
    <w:p>
      <w:pPr>
        <w:spacing w:after="120"/>
      </w:pPr>
      <w:r>
        <w:t>Best hyperparameters — ESRD 10-Year cohort:</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Model</w:t>
            </w:r>
          </w:p>
        </w:tc>
        <w:tc>
          <w:tcPr>
            <w:tcW w:type="dxa" w:w="4252"/>
            <w:shd w:val="clear" w:color="auto" w:fill="BDD7EE"/>
          </w:tcPr>
          <w:p>
            <w:r>
              <w:rPr>
                <w:b/>
                <w:sz w:val="20"/>
              </w:rPr>
              <w:t>Parameter</w:t>
            </w:r>
          </w:p>
        </w:tc>
        <w:tc>
          <w:tcPr>
            <w:tcW w:type="dxa" w:w="2835"/>
            <w:shd w:val="clear" w:color="auto" w:fill="BDD7EE"/>
          </w:tcPr>
          <w:p>
            <w:r>
              <w:rPr>
                <w:b/>
                <w:sz w:val="20"/>
              </w:rPr>
              <w:t>Value</w:t>
            </w:r>
          </w:p>
        </w:tc>
      </w:tr>
      <w:tr>
        <w:tc>
          <w:tcPr>
            <w:tcW w:type="dxa" w:w="2268"/>
          </w:tcPr>
          <w:p>
            <w:r>
              <w:rPr>
                <w:sz w:val="20"/>
              </w:rPr>
              <w:t>Random Forest</w:t>
            </w:r>
          </w:p>
        </w:tc>
        <w:tc>
          <w:tcPr>
            <w:tcW w:type="dxa" w:w="4252"/>
          </w:tcPr>
          <w:p>
            <w:r>
              <w:rPr>
                <w:sz w:val="20"/>
              </w:rPr>
              <w:t>n_estimators / max_depth / min_samples_leaf / max_features</w:t>
            </w:r>
          </w:p>
        </w:tc>
        <w:tc>
          <w:tcPr>
            <w:tcW w:type="dxa" w:w="2835"/>
          </w:tcPr>
          <w:p>
            <w:r>
              <w:rPr>
                <w:sz w:val="20"/>
              </w:rPr>
              <w:t>300 / 7 / 5 / sqrt</w:t>
            </w:r>
          </w:p>
        </w:tc>
      </w:tr>
      <w:tr>
        <w:tc>
          <w:tcPr>
            <w:tcW w:type="dxa" w:w="2268"/>
            <w:shd w:val="clear" w:color="auto" w:fill="F2F2F2"/>
          </w:tcPr>
          <w:p>
            <w:r>
              <w:rPr>
                <w:sz w:val="20"/>
              </w:rPr>
              <w:t>XGBoost</w:t>
            </w:r>
          </w:p>
        </w:tc>
        <w:tc>
          <w:tcPr>
            <w:tcW w:type="dxa" w:w="4252"/>
            <w:shd w:val="clear" w:color="auto" w:fill="F2F2F2"/>
          </w:tcPr>
          <w:p>
            <w:r>
              <w:rPr>
                <w:sz w:val="20"/>
              </w:rPr>
              <w:t>n_estimators / max_depth / lr / subsample / colsample / reg_α / reg_λ / min_child_w</w:t>
            </w:r>
          </w:p>
        </w:tc>
        <w:tc>
          <w:tcPr>
            <w:tcW w:type="dxa" w:w="2835"/>
            <w:shd w:val="clear" w:color="auto" w:fill="F2F2F2"/>
          </w:tcPr>
          <w:p>
            <w:r>
              <w:rPr>
                <w:sz w:val="20"/>
              </w:rPr>
              <w:t>200 / 2 / 0.05 / 0.5 / 0.6 / 2.0 / 5.0 / 10</w:t>
            </w:r>
          </w:p>
        </w:tc>
      </w:tr>
      <w:tr>
        <w:tc>
          <w:tcPr>
            <w:tcW w:type="dxa" w:w="2268"/>
          </w:tcPr>
          <w:p>
            <w:r>
              <w:rPr>
                <w:sz w:val="20"/>
              </w:rPr>
              <w:t>LightGBM</w:t>
            </w:r>
          </w:p>
        </w:tc>
        <w:tc>
          <w:tcPr>
            <w:tcW w:type="dxa" w:w="4252"/>
          </w:tcPr>
          <w:p>
            <w:r>
              <w:rPr>
                <w:sz w:val="20"/>
              </w:rPr>
              <w:t>n_estimators / max_depth / lr / subsample / num_leaves / min_child_samples</w:t>
            </w:r>
          </w:p>
        </w:tc>
        <w:tc>
          <w:tcPr>
            <w:tcW w:type="dxa" w:w="2835"/>
          </w:tcPr>
          <w:p>
            <w:r>
              <w:rPr>
                <w:sz w:val="20"/>
              </w:rPr>
              <w:t>300 / 3 / 0.05 / 0.7 / 15 / 10</w:t>
            </w:r>
          </w:p>
        </w:tc>
      </w:tr>
    </w:tbl>
    <w:p/>
    <w:p>
      <w:pPr>
        <w:pStyle w:val="Heading2"/>
        <w:spacing w:before="160" w:after="80"/>
      </w:pPr>
      <w:r>
        <w:t>6.3 Cross-Validation Strategy</w:t>
      </w:r>
    </w:p>
    <w:p>
      <w:pPr>
        <w:spacing w:after="120"/>
      </w:pPr>
      <w:r>
        <w:t>Repeated stratified k-fold cross-validation was used. The number of splits was chosen to ensure a minimum of approximately 14 test patients per fold (to obtain stable per-fold AUROC estimates):</w:t>
      </w:r>
    </w:p>
    <w:p>
      <w:pPr>
        <w:pStyle w:val="ListBullet"/>
        <w:spacing w:after="60"/>
        <w:ind w:left="340"/>
      </w:pPr>
      <w:r>
        <w:t>1-Year (n=430): 5 repeats × 10 folds = 50 evaluations; ~43 test patients per fold</w:t>
      </w:r>
    </w:p>
    <w:p>
      <w:pPr>
        <w:pStyle w:val="ListBullet"/>
        <w:spacing w:after="60"/>
        <w:ind w:left="340"/>
      </w:pPr>
      <w:r>
        <w:t>5-Year (n=356): 5 repeats × 10 folds = 50 evaluations; ~36 test patients per fold</w:t>
      </w:r>
    </w:p>
    <w:p>
      <w:pPr>
        <w:pStyle w:val="ListBullet"/>
        <w:spacing w:after="60"/>
        <w:ind w:left="340"/>
      </w:pPr>
      <w:r>
        <w:t>Serial biopsy (n=70): 5 repeats × 5 folds = 25 evaluations; ~14 test patients per fold (10-fold would give only 7)</w:t>
      </w:r>
    </w:p>
    <w:p>
      <w:pPr>
        <w:pStyle w:val="ListBullet"/>
        <w:spacing w:after="60"/>
        <w:ind w:left="340"/>
      </w:pPr>
      <w:r>
        <w:t>ESRD 5-year and 10-year (n=796): 5 repeats × 10 folds = 50 evaluations; ~80 test patients per fold</w:t>
      </w:r>
    </w:p>
    <w:p>
      <w:pPr>
        <w:spacing w:after="120"/>
      </w:pPr>
      <w:r>
        <w:t>Stratification ensured proportional outcome representation in each fold. Out-of-fold (OOF) predicted probabilities were averaged across repeats for calibration curves. Three metrics were computed per fold and averaged:</w:t>
      </w:r>
    </w:p>
    <w:p>
      <w:pPr>
        <w:pStyle w:val="ListBullet"/>
        <w:spacing w:after="60"/>
        <w:ind w:left="340"/>
      </w:pPr>
      <w:r>
        <w:t>AUROC — discrimination; 95% CI from fold-level percentiles (2.5th–97.5th)</w:t>
      </w:r>
    </w:p>
    <w:p>
      <w:pPr>
        <w:pStyle w:val="ListBullet"/>
        <w:spacing w:after="60"/>
        <w:ind w:left="340"/>
      </w:pPr>
      <w:r>
        <w:t>Brier Score — probabilistic accuracy (lower = better)</w:t>
      </w:r>
    </w:p>
    <w:p>
      <w:pPr>
        <w:pStyle w:val="ListBullet"/>
        <w:spacing w:after="60"/>
        <w:ind w:left="340"/>
      </w:pPr>
      <w:r>
        <w:t>Calibration Slope — logistic regression of observed outcome on log-odds of predicted probability; ideal = 1.0; &lt;1 indicates over-dispersion (predictions too extreme)</w:t>
      </w:r>
    </w:p>
    <w:p>
      <w:pPr>
        <w:pStyle w:val="Heading2"/>
        <w:spacing w:before="160" w:after="80"/>
      </w:pPr>
      <w:r>
        <w:t>6.4 Harrell Bootstrap Optimism Correction</w:t>
      </w:r>
    </w:p>
    <w:p>
      <w:pPr>
        <w:spacing w:after="120"/>
      </w:pPr>
      <w:r>
        <w:t>1,000 bootstrap iterations were performed using Harrell's optimism-correction method to estimate bias-corrected (BC) AUROC and Brier score for the flare and serial biopsy analyses. For each bootstrap sample b:</w:t>
      </w:r>
    </w:p>
    <w:p>
      <w:pPr>
        <w:pStyle w:val="ListBullet"/>
        <w:spacing w:after="60"/>
        <w:ind w:left="340"/>
      </w:pPr>
      <w:r>
        <w:t>Fit model on bootstrap sample D_b (n sampled with replacement from original D)</w:t>
      </w:r>
    </w:p>
    <w:p>
      <w:pPr>
        <w:pStyle w:val="ListBullet"/>
        <w:spacing w:after="60"/>
        <w:ind w:left="340"/>
      </w:pPr>
      <w:r>
        <w:t>Evaluate on D_b → C_boot (bootstrap apparent performance)</w:t>
      </w:r>
    </w:p>
    <w:p>
      <w:pPr>
        <w:pStyle w:val="ListBullet"/>
        <w:spacing w:after="60"/>
        <w:ind w:left="340"/>
      </w:pPr>
      <w:r>
        <w:t>Evaluate same model on original D → C_orig (bootstrap test performance)</w:t>
      </w:r>
    </w:p>
    <w:p>
      <w:pPr>
        <w:pStyle w:val="ListBullet"/>
        <w:spacing w:after="60"/>
        <w:ind w:left="340"/>
      </w:pPr>
      <w:r>
        <w:t>Optimism_b = C_boot − C_orig</w:t>
      </w:r>
    </w:p>
    <w:p>
      <w:pPr>
        <w:spacing w:after="120"/>
      </w:pPr>
      <w:r>
        <w:t>Mean optimism across 1,000 iterations was subtracted from the apparent performance (model fitted on the full dataset) to yield the BC estimate. Optimism reflects the degree of overfitting: a large difference between apparent and BC AUROC indicates the model has exploited random structure in the training data. Harrell bootstrap was performed for all analyses including ESRD (src/esrd/01_esrd_modelling.py). The ESRD 10-year tree models showed the largest optimism corrections (RF: 0.064, LGBM: 0.067), reflecting the greater model complexity with 17 predictors and 175 events.</w:t>
      </w:r>
    </w:p>
    <w:p>
      <w:pPr>
        <w:pStyle w:val="Heading1"/>
        <w:spacing w:before="280" w:after="80"/>
      </w:pPr>
      <w:r>
        <w:t>7. Results</w:t>
      </w:r>
    </w:p>
    <w:p>
      <w:pPr>
        <w:pStyle w:val="Heading2"/>
        <w:spacing w:before="160" w:after="80"/>
      </w:pPr>
      <w:r>
        <w:t>7.1 1-Year Cohort Results</w:t>
      </w:r>
    </w:p>
    <w:p>
      <w:pPr>
        <w:spacing w:after="120"/>
      </w:pPr>
      <w:r>
        <w:t>n=430, 99 events (23.0%), 9 predictors. Null model Brier score ≈ 0.177.</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0.708</w:t>
            </w:r>
          </w:p>
        </w:tc>
        <w:tc>
          <w:tcPr>
            <w:tcW w:type="dxa" w:w="1984"/>
          </w:tcPr>
          <w:p>
            <w:r>
              <w:rPr>
                <w:sz w:val="20"/>
              </w:rPr>
              <w:t>0.553–0.858</w:t>
            </w:r>
          </w:p>
        </w:tc>
        <w:tc>
          <w:tcPr>
            <w:tcW w:type="dxa" w:w="1417"/>
          </w:tcPr>
          <w:p>
            <w:r>
              <w:rPr>
                <w:sz w:val="20"/>
              </w:rPr>
              <w:t>0.220</w:t>
            </w:r>
          </w:p>
        </w:tc>
        <w:tc>
          <w:tcPr>
            <w:tcW w:type="dxa" w:w="1701"/>
          </w:tcPr>
          <w:p>
            <w:r>
              <w:rPr>
                <w:sz w:val="20"/>
              </w:rPr>
              <w:t>0.719</w:t>
            </w:r>
          </w:p>
        </w:tc>
        <w:tc>
          <w:tcPr>
            <w:tcW w:type="dxa" w:w="1701"/>
          </w:tcPr>
          <w:p>
            <w:r>
              <w:rPr>
                <w:sz w:val="20"/>
              </w:rPr>
              <w:t>0.709</w:t>
            </w:r>
          </w:p>
        </w:tc>
      </w:tr>
      <w:tr>
        <w:tc>
          <w:tcPr>
            <w:tcW w:type="dxa" w:w="2551"/>
            <w:shd w:val="clear" w:color="auto" w:fill="F2F2F2"/>
          </w:tcPr>
          <w:p>
            <w:r>
              <w:rPr>
                <w:sz w:val="20"/>
              </w:rPr>
              <w:t>Random Forest</w:t>
            </w:r>
          </w:p>
        </w:tc>
        <w:tc>
          <w:tcPr>
            <w:tcW w:type="dxa" w:w="1701"/>
            <w:shd w:val="clear" w:color="auto" w:fill="F2F2F2"/>
          </w:tcPr>
          <w:p>
            <w:r>
              <w:rPr>
                <w:sz w:val="20"/>
              </w:rPr>
              <w:t>0.690</w:t>
            </w:r>
          </w:p>
        </w:tc>
        <w:tc>
          <w:tcPr>
            <w:tcW w:type="dxa" w:w="1984"/>
            <w:shd w:val="clear" w:color="auto" w:fill="F2F2F2"/>
          </w:tcPr>
          <w:p>
            <w:r>
              <w:rPr>
                <w:sz w:val="20"/>
              </w:rPr>
              <w:t>0.549–0.834</w:t>
            </w:r>
          </w:p>
        </w:tc>
        <w:tc>
          <w:tcPr>
            <w:tcW w:type="dxa" w:w="1417"/>
            <w:shd w:val="clear" w:color="auto" w:fill="F2F2F2"/>
          </w:tcPr>
          <w:p>
            <w:r>
              <w:rPr>
                <w:sz w:val="20"/>
              </w:rPr>
              <w:t>0.211</w:t>
            </w:r>
          </w:p>
        </w:tc>
        <w:tc>
          <w:tcPr>
            <w:tcW w:type="dxa" w:w="1701"/>
            <w:shd w:val="clear" w:color="auto" w:fill="F2F2F2"/>
          </w:tcPr>
          <w:p>
            <w:r>
              <w:rPr>
                <w:sz w:val="20"/>
              </w:rPr>
              <w:t>0.849</w:t>
            </w:r>
          </w:p>
        </w:tc>
        <w:tc>
          <w:tcPr>
            <w:tcW w:type="dxa" w:w="1701"/>
            <w:shd w:val="clear" w:color="auto" w:fill="F2F2F2"/>
          </w:tcPr>
          <w:p>
            <w:r>
              <w:rPr>
                <w:sz w:val="20"/>
              </w:rPr>
              <w:t>0.730</w:t>
            </w:r>
          </w:p>
        </w:tc>
      </w:tr>
      <w:tr>
        <w:tc>
          <w:tcPr>
            <w:tcW w:type="dxa" w:w="2551"/>
          </w:tcPr>
          <w:p>
            <w:r>
              <w:rPr>
                <w:sz w:val="20"/>
              </w:rPr>
              <w:t>XGBoost</w:t>
            </w:r>
          </w:p>
        </w:tc>
        <w:tc>
          <w:tcPr>
            <w:tcW w:type="dxa" w:w="1701"/>
          </w:tcPr>
          <w:p>
            <w:r>
              <w:rPr>
                <w:sz w:val="20"/>
              </w:rPr>
              <w:t>0.674</w:t>
            </w:r>
          </w:p>
        </w:tc>
        <w:tc>
          <w:tcPr>
            <w:tcW w:type="dxa" w:w="1984"/>
          </w:tcPr>
          <w:p>
            <w:r>
              <w:rPr>
                <w:sz w:val="20"/>
              </w:rPr>
              <w:t>0.544–0.837</w:t>
            </w:r>
          </w:p>
        </w:tc>
        <w:tc>
          <w:tcPr>
            <w:tcW w:type="dxa" w:w="1417"/>
          </w:tcPr>
          <w:p>
            <w:r>
              <w:rPr>
                <w:sz w:val="20"/>
              </w:rPr>
              <w:t>0.224</w:t>
            </w:r>
          </w:p>
        </w:tc>
        <w:tc>
          <w:tcPr>
            <w:tcW w:type="dxa" w:w="1701"/>
          </w:tcPr>
          <w:p>
            <w:r>
              <w:rPr>
                <w:sz w:val="20"/>
              </w:rPr>
              <w:t>0.835</w:t>
            </w:r>
          </w:p>
        </w:tc>
        <w:tc>
          <w:tcPr>
            <w:tcW w:type="dxa" w:w="1701"/>
          </w:tcPr>
          <w:p>
            <w:r>
              <w:rPr>
                <w:sz w:val="20"/>
              </w:rPr>
              <w:t>0.704</w:t>
            </w:r>
          </w:p>
        </w:tc>
      </w:tr>
      <w:tr>
        <w:tc>
          <w:tcPr>
            <w:tcW w:type="dxa" w:w="2551"/>
            <w:shd w:val="clear" w:color="auto" w:fill="F2F2F2"/>
          </w:tcPr>
          <w:p>
            <w:r>
              <w:rPr>
                <w:sz w:val="20"/>
              </w:rPr>
              <w:t>LightGBM</w:t>
            </w:r>
          </w:p>
        </w:tc>
        <w:tc>
          <w:tcPr>
            <w:tcW w:type="dxa" w:w="1701"/>
            <w:shd w:val="clear" w:color="auto" w:fill="F2F2F2"/>
          </w:tcPr>
          <w:p>
            <w:r>
              <w:rPr>
                <w:sz w:val="20"/>
              </w:rPr>
              <w:t>0.659</w:t>
            </w:r>
          </w:p>
        </w:tc>
        <w:tc>
          <w:tcPr>
            <w:tcW w:type="dxa" w:w="1984"/>
            <w:shd w:val="clear" w:color="auto" w:fill="F2F2F2"/>
          </w:tcPr>
          <w:p>
            <w:r>
              <w:rPr>
                <w:sz w:val="20"/>
              </w:rPr>
              <w:t>0.532–0.818</w:t>
            </w:r>
          </w:p>
        </w:tc>
        <w:tc>
          <w:tcPr>
            <w:tcW w:type="dxa" w:w="1417"/>
            <w:shd w:val="clear" w:color="auto" w:fill="F2F2F2"/>
          </w:tcPr>
          <w:p>
            <w:r>
              <w:rPr>
                <w:sz w:val="20"/>
              </w:rPr>
              <w:t>0.224</w:t>
            </w:r>
          </w:p>
        </w:tc>
        <w:tc>
          <w:tcPr>
            <w:tcW w:type="dxa" w:w="1701"/>
            <w:shd w:val="clear" w:color="auto" w:fill="F2F2F2"/>
          </w:tcPr>
          <w:p>
            <w:r>
              <w:rPr>
                <w:sz w:val="20"/>
              </w:rPr>
              <w:t>0.686</w:t>
            </w:r>
          </w:p>
        </w:tc>
        <w:tc>
          <w:tcPr>
            <w:tcW w:type="dxa" w:w="1701"/>
            <w:shd w:val="clear" w:color="auto" w:fill="F2F2F2"/>
          </w:tcPr>
          <w:p>
            <w:r>
              <w:rPr>
                <w:sz w:val="20"/>
              </w:rPr>
              <w:t>0.710</w:t>
            </w:r>
          </w:p>
        </w:tc>
      </w:tr>
    </w:tbl>
    <w:p/>
    <w:p>
      <w:pPr>
        <w:spacing w:after="120"/>
      </w:pPr>
      <w:r>
        <w:t>Logistic Regression achieved the highest CV AUROC (0.708) and had the lowest optimism (BC AUROC ≈ CV AUROC = 0.709), confirming minimal overfitting. Random Forest had the best calibration slope (0.849, closest to 1.0) and the highest BC AUROC (0.730) due to larger apparent performance being partially corrected. Tree models (XGBoost, LightGBM) showed slightly higher apparent AUROCs on bootstrap samples, suggesting moderate overfitting. No model exceeded AUROC 0.75, consistent with the inherent difficulty of predicting flare from a single biopsy with a limited predictor set.</w:t>
      </w:r>
    </w:p>
    <w:p>
      <w:pPr>
        <w:pStyle w:val="Heading2"/>
        <w:spacing w:before="160" w:after="80"/>
      </w:pPr>
      <w:r>
        <w:t>7.2 5-Year Cohort Results</w:t>
      </w:r>
    </w:p>
    <w:p>
      <w:pPr>
        <w:spacing w:after="120"/>
      </w:pPr>
      <w:r>
        <w:t>n=356, 166 events (46.6%), 10 predictors. Null model Brier score ≈ 0.249.</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0.673</w:t>
            </w:r>
          </w:p>
        </w:tc>
        <w:tc>
          <w:tcPr>
            <w:tcW w:type="dxa" w:w="1984"/>
          </w:tcPr>
          <w:p>
            <w:r>
              <w:rPr>
                <w:sz w:val="20"/>
              </w:rPr>
              <w:t>0.536–0.788</w:t>
            </w:r>
          </w:p>
        </w:tc>
        <w:tc>
          <w:tcPr>
            <w:tcW w:type="dxa" w:w="1417"/>
          </w:tcPr>
          <w:p>
            <w:r>
              <w:rPr>
                <w:sz w:val="20"/>
              </w:rPr>
              <w:t>0.232</w:t>
            </w:r>
          </w:p>
        </w:tc>
        <w:tc>
          <w:tcPr>
            <w:tcW w:type="dxa" w:w="1701"/>
          </w:tcPr>
          <w:p>
            <w:r>
              <w:rPr>
                <w:sz w:val="20"/>
              </w:rPr>
              <w:t>0.669</w:t>
            </w:r>
          </w:p>
        </w:tc>
        <w:tc>
          <w:tcPr>
            <w:tcW w:type="dxa" w:w="1701"/>
          </w:tcPr>
          <w:p>
            <w:r>
              <w:rPr>
                <w:sz w:val="20"/>
              </w:rPr>
              <w:t>0.670</w:t>
            </w:r>
          </w:p>
        </w:tc>
      </w:tr>
      <w:tr>
        <w:tc>
          <w:tcPr>
            <w:tcW w:type="dxa" w:w="2551"/>
            <w:shd w:val="clear" w:color="auto" w:fill="F2F2F2"/>
          </w:tcPr>
          <w:p>
            <w:r>
              <w:rPr>
                <w:sz w:val="20"/>
              </w:rPr>
              <w:t>Random Forest</w:t>
            </w:r>
          </w:p>
        </w:tc>
        <w:tc>
          <w:tcPr>
            <w:tcW w:type="dxa" w:w="1701"/>
            <w:shd w:val="clear" w:color="auto" w:fill="F2F2F2"/>
          </w:tcPr>
          <w:p>
            <w:r>
              <w:rPr>
                <w:sz w:val="20"/>
              </w:rPr>
              <w:t>0.679</w:t>
            </w:r>
          </w:p>
        </w:tc>
        <w:tc>
          <w:tcPr>
            <w:tcW w:type="dxa" w:w="1984"/>
            <w:shd w:val="clear" w:color="auto" w:fill="F2F2F2"/>
          </w:tcPr>
          <w:p>
            <w:r>
              <w:rPr>
                <w:sz w:val="20"/>
              </w:rPr>
              <w:t>0.505–0.809</w:t>
            </w:r>
          </w:p>
        </w:tc>
        <w:tc>
          <w:tcPr>
            <w:tcW w:type="dxa" w:w="1417"/>
            <w:shd w:val="clear" w:color="auto" w:fill="F2F2F2"/>
          </w:tcPr>
          <w:p>
            <w:r>
              <w:rPr>
                <w:sz w:val="20"/>
              </w:rPr>
              <w:t>0.227</w:t>
            </w:r>
          </w:p>
        </w:tc>
        <w:tc>
          <w:tcPr>
            <w:tcW w:type="dxa" w:w="1701"/>
            <w:shd w:val="clear" w:color="auto" w:fill="F2F2F2"/>
          </w:tcPr>
          <w:p>
            <w:r>
              <w:rPr>
                <w:sz w:val="20"/>
              </w:rPr>
              <w:t>0.827</w:t>
            </w:r>
          </w:p>
        </w:tc>
        <w:tc>
          <w:tcPr>
            <w:tcW w:type="dxa" w:w="1701"/>
            <w:shd w:val="clear" w:color="auto" w:fill="F2F2F2"/>
          </w:tcPr>
          <w:p>
            <w:r>
              <w:rPr>
                <w:sz w:val="20"/>
              </w:rPr>
              <w:t>0.726</w:t>
            </w:r>
          </w:p>
        </w:tc>
      </w:tr>
      <w:tr>
        <w:tc>
          <w:tcPr>
            <w:tcW w:type="dxa" w:w="2551"/>
          </w:tcPr>
          <w:p>
            <w:r>
              <w:rPr>
                <w:sz w:val="20"/>
              </w:rPr>
              <w:t>XGBoost</w:t>
            </w:r>
          </w:p>
        </w:tc>
        <w:tc>
          <w:tcPr>
            <w:tcW w:type="dxa" w:w="1701"/>
          </w:tcPr>
          <w:p>
            <w:r>
              <w:rPr>
                <w:sz w:val="20"/>
              </w:rPr>
              <w:t>0.673</w:t>
            </w:r>
          </w:p>
        </w:tc>
        <w:tc>
          <w:tcPr>
            <w:tcW w:type="dxa" w:w="1984"/>
          </w:tcPr>
          <w:p>
            <w:r>
              <w:rPr>
                <w:sz w:val="20"/>
              </w:rPr>
              <w:t>0.479–0.811</w:t>
            </w:r>
          </w:p>
        </w:tc>
        <w:tc>
          <w:tcPr>
            <w:tcW w:type="dxa" w:w="1417"/>
          </w:tcPr>
          <w:p>
            <w:r>
              <w:rPr>
                <w:sz w:val="20"/>
              </w:rPr>
              <w:t>0.239</w:t>
            </w:r>
          </w:p>
        </w:tc>
        <w:tc>
          <w:tcPr>
            <w:tcW w:type="dxa" w:w="1701"/>
          </w:tcPr>
          <w:p>
            <w:r>
              <w:rPr>
                <w:sz w:val="20"/>
              </w:rPr>
              <w:t>0.705</w:t>
            </w:r>
          </w:p>
        </w:tc>
        <w:tc>
          <w:tcPr>
            <w:tcW w:type="dxa" w:w="1701"/>
          </w:tcPr>
          <w:p>
            <w:r>
              <w:rPr>
                <w:sz w:val="20"/>
              </w:rPr>
              <w:t>0.685</w:t>
            </w:r>
          </w:p>
        </w:tc>
      </w:tr>
      <w:tr>
        <w:tc>
          <w:tcPr>
            <w:tcW w:type="dxa" w:w="2551"/>
            <w:shd w:val="clear" w:color="auto" w:fill="F2F2F2"/>
          </w:tcPr>
          <w:p>
            <w:r>
              <w:rPr>
                <w:sz w:val="20"/>
              </w:rPr>
              <w:t>LightGBM</w:t>
            </w:r>
          </w:p>
        </w:tc>
        <w:tc>
          <w:tcPr>
            <w:tcW w:type="dxa" w:w="1701"/>
            <w:shd w:val="clear" w:color="auto" w:fill="F2F2F2"/>
          </w:tcPr>
          <w:p>
            <w:r>
              <w:rPr>
                <w:sz w:val="20"/>
              </w:rPr>
              <w:t>0.678</w:t>
            </w:r>
          </w:p>
        </w:tc>
        <w:tc>
          <w:tcPr>
            <w:tcW w:type="dxa" w:w="1984"/>
            <w:shd w:val="clear" w:color="auto" w:fill="F2F2F2"/>
          </w:tcPr>
          <w:p>
            <w:r>
              <w:rPr>
                <w:sz w:val="20"/>
              </w:rPr>
              <w:t>0.518–0.792</w:t>
            </w:r>
          </w:p>
        </w:tc>
        <w:tc>
          <w:tcPr>
            <w:tcW w:type="dxa" w:w="1417"/>
            <w:shd w:val="clear" w:color="auto" w:fill="F2F2F2"/>
          </w:tcPr>
          <w:p>
            <w:r>
              <w:rPr>
                <w:sz w:val="20"/>
              </w:rPr>
              <w:t>0.229</w:t>
            </w:r>
          </w:p>
        </w:tc>
        <w:tc>
          <w:tcPr>
            <w:tcW w:type="dxa" w:w="1701"/>
            <w:shd w:val="clear" w:color="auto" w:fill="F2F2F2"/>
          </w:tcPr>
          <w:p>
            <w:r>
              <w:rPr>
                <w:sz w:val="20"/>
              </w:rPr>
              <w:t>0.878</w:t>
            </w:r>
          </w:p>
        </w:tc>
        <w:tc>
          <w:tcPr>
            <w:tcW w:type="dxa" w:w="1701"/>
            <w:shd w:val="clear" w:color="auto" w:fill="F2F2F2"/>
          </w:tcPr>
          <w:p>
            <w:r>
              <w:rPr>
                <w:sz w:val="20"/>
              </w:rPr>
              <w:t>0.737</w:t>
            </w:r>
          </w:p>
        </w:tc>
      </w:tr>
    </w:tbl>
    <w:p/>
    <w:p>
      <w:pPr>
        <w:spacing w:after="120"/>
      </w:pPr>
      <w:r>
        <w:t>All four models achieved nearly identical CV AUROCs (0.673–0.679). LightGBM had the best calibration slope (0.878) and BC AUROC (0.737). The 5-year cohort has a higher event rate than the 1-year cohort but slightly lower discrimination — reflecting that 5-year outcomes are harder to predict from biopsy alone, and that the additional events come from a broader range of trajectories. Confidence intervals are wider than 1-year due to the smaller cohort (n=356 vs n=430).</w:t>
      </w:r>
    </w:p>
    <w:p>
      <w:pPr>
        <w:pStyle w:val="Heading2"/>
        <w:spacing w:before="160" w:after="80"/>
      </w:pPr>
      <w:r>
        <w:t>7.3 Serial Biopsy Results</w:t>
      </w:r>
    </w:p>
    <w:p>
      <w:pPr>
        <w:spacing w:after="120"/>
      </w:pPr>
      <w:r>
        <w:t>n=70, 34 events (48.6%), 2 predictors. 5×5-fold CV. Results should be treated as exploratory given the very small sample size.</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0.676</w:t>
            </w:r>
          </w:p>
        </w:tc>
        <w:tc>
          <w:tcPr>
            <w:tcW w:type="dxa" w:w="1984"/>
          </w:tcPr>
          <w:p>
            <w:r>
              <w:rPr>
                <w:sz w:val="20"/>
              </w:rPr>
              <w:t>0.434–0.873</w:t>
            </w:r>
          </w:p>
        </w:tc>
        <w:tc>
          <w:tcPr>
            <w:tcW w:type="dxa" w:w="1417"/>
          </w:tcPr>
          <w:p>
            <w:r>
              <w:rPr>
                <w:sz w:val="20"/>
              </w:rPr>
              <w:t>0.235</w:t>
            </w:r>
          </w:p>
        </w:tc>
        <w:tc>
          <w:tcPr>
            <w:tcW w:type="dxa" w:w="1701"/>
          </w:tcPr>
          <w:p>
            <w:r>
              <w:rPr>
                <w:sz w:val="20"/>
              </w:rPr>
              <w:t>0.570</w:t>
            </w:r>
          </w:p>
        </w:tc>
        <w:tc>
          <w:tcPr>
            <w:tcW w:type="dxa" w:w="1701"/>
          </w:tcPr>
          <w:p>
            <w:r>
              <w:rPr>
                <w:sz w:val="20"/>
              </w:rPr>
              <w:t>0.660</w:t>
            </w:r>
          </w:p>
        </w:tc>
      </w:tr>
      <w:tr>
        <w:tc>
          <w:tcPr>
            <w:tcW w:type="dxa" w:w="2551"/>
            <w:shd w:val="clear" w:color="auto" w:fill="F2F2F2"/>
          </w:tcPr>
          <w:p>
            <w:r>
              <w:rPr>
                <w:sz w:val="20"/>
              </w:rPr>
              <w:t>Random Forest</w:t>
            </w:r>
          </w:p>
        </w:tc>
        <w:tc>
          <w:tcPr>
            <w:tcW w:type="dxa" w:w="1701"/>
            <w:shd w:val="clear" w:color="auto" w:fill="F2F2F2"/>
          </w:tcPr>
          <w:p>
            <w:r>
              <w:rPr>
                <w:sz w:val="20"/>
              </w:rPr>
              <w:t>0.588</w:t>
            </w:r>
          </w:p>
        </w:tc>
        <w:tc>
          <w:tcPr>
            <w:tcW w:type="dxa" w:w="1984"/>
            <w:shd w:val="clear" w:color="auto" w:fill="F2F2F2"/>
          </w:tcPr>
          <w:p>
            <w:r>
              <w:rPr>
                <w:sz w:val="20"/>
              </w:rPr>
              <w:t>0.318–0.824</w:t>
            </w:r>
          </w:p>
        </w:tc>
        <w:tc>
          <w:tcPr>
            <w:tcW w:type="dxa" w:w="1417"/>
            <w:shd w:val="clear" w:color="auto" w:fill="F2F2F2"/>
          </w:tcPr>
          <w:p>
            <w:r>
              <w:rPr>
                <w:sz w:val="20"/>
              </w:rPr>
              <w:t>0.251</w:t>
            </w:r>
          </w:p>
        </w:tc>
        <w:tc>
          <w:tcPr>
            <w:tcW w:type="dxa" w:w="1701"/>
            <w:shd w:val="clear" w:color="auto" w:fill="F2F2F2"/>
          </w:tcPr>
          <w:p>
            <w:r>
              <w:rPr>
                <w:sz w:val="20"/>
              </w:rPr>
              <w:t>0.320</w:t>
            </w:r>
          </w:p>
        </w:tc>
        <w:tc>
          <w:tcPr>
            <w:tcW w:type="dxa" w:w="1701"/>
            <w:shd w:val="clear" w:color="auto" w:fill="F2F2F2"/>
          </w:tcPr>
          <w:p>
            <w:r>
              <w:rPr>
                <w:sz w:val="20"/>
              </w:rPr>
              <w:t>0.656</w:t>
            </w:r>
          </w:p>
        </w:tc>
      </w:tr>
      <w:tr>
        <w:tc>
          <w:tcPr>
            <w:tcW w:type="dxa" w:w="2551"/>
          </w:tcPr>
          <w:p>
            <w:r>
              <w:rPr>
                <w:sz w:val="20"/>
              </w:rPr>
              <w:t>XGBoost</w:t>
            </w:r>
          </w:p>
        </w:tc>
        <w:tc>
          <w:tcPr>
            <w:tcW w:type="dxa" w:w="1701"/>
          </w:tcPr>
          <w:p>
            <w:r>
              <w:rPr>
                <w:sz w:val="20"/>
              </w:rPr>
              <w:t>0.648</w:t>
            </w:r>
          </w:p>
        </w:tc>
        <w:tc>
          <w:tcPr>
            <w:tcW w:type="dxa" w:w="1984"/>
          </w:tcPr>
          <w:p>
            <w:r>
              <w:rPr>
                <w:sz w:val="20"/>
              </w:rPr>
              <w:t>0.453–0.818</w:t>
            </w:r>
          </w:p>
        </w:tc>
        <w:tc>
          <w:tcPr>
            <w:tcW w:type="dxa" w:w="1417"/>
          </w:tcPr>
          <w:p>
            <w:r>
              <w:rPr>
                <w:sz w:val="20"/>
              </w:rPr>
              <w:t>0.249</w:t>
            </w:r>
          </w:p>
        </w:tc>
        <w:tc>
          <w:tcPr>
            <w:tcW w:type="dxa" w:w="1701"/>
          </w:tcPr>
          <w:p>
            <w:r>
              <w:rPr>
                <w:sz w:val="20"/>
              </w:rPr>
              <w:t>0.053</w:t>
            </w:r>
          </w:p>
        </w:tc>
        <w:tc>
          <w:tcPr>
            <w:tcW w:type="dxa" w:w="1701"/>
          </w:tcPr>
          <w:p>
            <w:r>
              <w:rPr>
                <w:sz w:val="20"/>
              </w:rPr>
              <w:t>0.617</w:t>
            </w:r>
          </w:p>
        </w:tc>
      </w:tr>
      <w:tr>
        <w:tc>
          <w:tcPr>
            <w:tcW w:type="dxa" w:w="2551"/>
            <w:shd w:val="clear" w:color="auto" w:fill="F2F2F2"/>
          </w:tcPr>
          <w:p>
            <w:r>
              <w:rPr>
                <w:sz w:val="20"/>
              </w:rPr>
              <w:t>LightGBM</w:t>
            </w:r>
          </w:p>
        </w:tc>
        <w:tc>
          <w:tcPr>
            <w:tcW w:type="dxa" w:w="1701"/>
            <w:shd w:val="clear" w:color="auto" w:fill="F2F2F2"/>
          </w:tcPr>
          <w:p>
            <w:r>
              <w:rPr>
                <w:sz w:val="20"/>
              </w:rPr>
              <w:t>0.631</w:t>
            </w:r>
          </w:p>
        </w:tc>
        <w:tc>
          <w:tcPr>
            <w:tcW w:type="dxa" w:w="1984"/>
            <w:shd w:val="clear" w:color="auto" w:fill="F2F2F2"/>
          </w:tcPr>
          <w:p>
            <w:r>
              <w:rPr>
                <w:sz w:val="20"/>
              </w:rPr>
              <w:t>0.443–0.855</w:t>
            </w:r>
          </w:p>
        </w:tc>
        <w:tc>
          <w:tcPr>
            <w:tcW w:type="dxa" w:w="1417"/>
            <w:shd w:val="clear" w:color="auto" w:fill="F2F2F2"/>
          </w:tcPr>
          <w:p>
            <w:r>
              <w:rPr>
                <w:sz w:val="20"/>
              </w:rPr>
              <w:t>0.240</w:t>
            </w:r>
          </w:p>
        </w:tc>
        <w:tc>
          <w:tcPr>
            <w:tcW w:type="dxa" w:w="1701"/>
            <w:shd w:val="clear" w:color="auto" w:fill="F2F2F2"/>
          </w:tcPr>
          <w:p>
            <w:r>
              <w:rPr>
                <w:sz w:val="20"/>
              </w:rPr>
              <w:t>0.346</w:t>
            </w:r>
          </w:p>
        </w:tc>
        <w:tc>
          <w:tcPr>
            <w:tcW w:type="dxa" w:w="1701"/>
            <w:shd w:val="clear" w:color="auto" w:fill="F2F2F2"/>
          </w:tcPr>
          <w:p>
            <w:r>
              <w:rPr>
                <w:sz w:val="20"/>
              </w:rPr>
              <w:t>0.594</w:t>
            </w:r>
          </w:p>
        </w:tc>
      </w:tr>
    </w:tbl>
    <w:p/>
    <w:p>
      <w:pPr>
        <w:spacing w:after="120"/>
      </w:pPr>
      <w:r>
        <w:t>Logistic Regression was the best-performing model (CV AUROC 0.676). With only 2 predictors, LR is the natural choice — complex tree models offer no advantage. XGBoost calibration slope of 0.053 indicates near-constant predictions (severe miscalibration), making it unsuitable at this sample size. The very wide confidence intervals (e.g. 0.434–0.873 for LR) reflect the small n. These results confirm that serial biopsy data adds marginal discriminatory signal beyond the cross-sectional features, but the sample is insufficient for definitive conclusions.</w:t>
      </w:r>
    </w:p>
    <w:p>
      <w:pPr>
        <w:pStyle w:val="Heading2"/>
        <w:spacing w:before="160" w:after="80"/>
      </w:pPr>
      <w:r>
        <w:t>7.4 ESRD 5-Year Results  (src/esrd/01_esrd_modelling.py)</w:t>
      </w:r>
    </w:p>
    <w:p>
      <w:pPr>
        <w:spacing w:after="120"/>
      </w:pPr>
      <w:r>
        <w:t>n=796, 112 events (14.1%), 5 predictors. 5×10-fold CV + Harrell bootstrap. ESRD prediction substantially outperforms flare prediction, reflecting that ESRD is driven by measurable chronic markers with stronger prognostic signal.</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0.797</w:t>
            </w:r>
          </w:p>
        </w:tc>
        <w:tc>
          <w:tcPr>
            <w:tcW w:type="dxa" w:w="1984"/>
          </w:tcPr>
          <w:p>
            <w:r>
              <w:rPr>
                <w:sz w:val="20"/>
              </w:rPr>
              <w:t>0.669–0.904</w:t>
            </w:r>
          </w:p>
        </w:tc>
        <w:tc>
          <w:tcPr>
            <w:tcW w:type="dxa" w:w="1417"/>
          </w:tcPr>
          <w:p>
            <w:r>
              <w:rPr>
                <w:sz w:val="20"/>
              </w:rPr>
              <w:t>0.178</w:t>
            </w:r>
          </w:p>
        </w:tc>
        <w:tc>
          <w:tcPr>
            <w:tcW w:type="dxa" w:w="1701"/>
          </w:tcPr>
          <w:p>
            <w:r>
              <w:rPr>
                <w:sz w:val="20"/>
              </w:rPr>
              <w:t>0.873</w:t>
            </w:r>
          </w:p>
        </w:tc>
        <w:tc>
          <w:tcPr>
            <w:tcW w:type="dxa" w:w="1701"/>
          </w:tcPr>
          <w:p>
            <w:r>
              <w:rPr>
                <w:sz w:val="20"/>
              </w:rPr>
              <w:t>0.797</w:t>
            </w:r>
          </w:p>
        </w:tc>
      </w:tr>
      <w:tr>
        <w:tc>
          <w:tcPr>
            <w:tcW w:type="dxa" w:w="2551"/>
            <w:shd w:val="clear" w:color="auto" w:fill="F2F2F2"/>
          </w:tcPr>
          <w:p>
            <w:r>
              <w:rPr>
                <w:sz w:val="20"/>
              </w:rPr>
              <w:t>Random Forest</w:t>
            </w:r>
          </w:p>
        </w:tc>
        <w:tc>
          <w:tcPr>
            <w:tcW w:type="dxa" w:w="1701"/>
            <w:shd w:val="clear" w:color="auto" w:fill="F2F2F2"/>
          </w:tcPr>
          <w:p>
            <w:r>
              <w:rPr>
                <w:sz w:val="20"/>
              </w:rPr>
              <w:t>0.787</w:t>
            </w:r>
          </w:p>
        </w:tc>
        <w:tc>
          <w:tcPr>
            <w:tcW w:type="dxa" w:w="1984"/>
            <w:shd w:val="clear" w:color="auto" w:fill="F2F2F2"/>
          </w:tcPr>
          <w:p>
            <w:r>
              <w:rPr>
                <w:sz w:val="20"/>
              </w:rPr>
              <w:t>0.623–0.898</w:t>
            </w:r>
          </w:p>
        </w:tc>
        <w:tc>
          <w:tcPr>
            <w:tcW w:type="dxa" w:w="1417"/>
            <w:shd w:val="clear" w:color="auto" w:fill="F2F2F2"/>
          </w:tcPr>
          <w:p>
            <w:r>
              <w:rPr>
                <w:sz w:val="20"/>
              </w:rPr>
              <w:t>0.164</w:t>
            </w:r>
          </w:p>
        </w:tc>
        <w:tc>
          <w:tcPr>
            <w:tcW w:type="dxa" w:w="1701"/>
            <w:shd w:val="clear" w:color="auto" w:fill="F2F2F2"/>
          </w:tcPr>
          <w:p>
            <w:r>
              <w:rPr>
                <w:sz w:val="20"/>
              </w:rPr>
              <w:t>1.013</w:t>
            </w:r>
          </w:p>
        </w:tc>
        <w:tc>
          <w:tcPr>
            <w:tcW w:type="dxa" w:w="1701"/>
            <w:shd w:val="clear" w:color="auto" w:fill="F2F2F2"/>
          </w:tcPr>
          <w:p>
            <w:r>
              <w:rPr>
                <w:sz w:val="20"/>
              </w:rPr>
              <w:t>0.803</w:t>
            </w:r>
          </w:p>
        </w:tc>
      </w:tr>
      <w:tr>
        <w:tc>
          <w:tcPr>
            <w:tcW w:type="dxa" w:w="2551"/>
          </w:tcPr>
          <w:p>
            <w:r>
              <w:rPr>
                <w:sz w:val="20"/>
              </w:rPr>
              <w:t>XGBoost</w:t>
            </w:r>
          </w:p>
        </w:tc>
        <w:tc>
          <w:tcPr>
            <w:tcW w:type="dxa" w:w="1701"/>
          </w:tcPr>
          <w:p>
            <w:r>
              <w:rPr>
                <w:sz w:val="20"/>
              </w:rPr>
              <w:t>0.792</w:t>
            </w:r>
          </w:p>
        </w:tc>
        <w:tc>
          <w:tcPr>
            <w:tcW w:type="dxa" w:w="1984"/>
          </w:tcPr>
          <w:p>
            <w:r>
              <w:rPr>
                <w:sz w:val="20"/>
              </w:rPr>
              <w:t>0.631–0.901</w:t>
            </w:r>
          </w:p>
        </w:tc>
        <w:tc>
          <w:tcPr>
            <w:tcW w:type="dxa" w:w="1417"/>
          </w:tcPr>
          <w:p>
            <w:r>
              <w:rPr>
                <w:sz w:val="20"/>
              </w:rPr>
              <w:t>0.178</w:t>
            </w:r>
          </w:p>
        </w:tc>
        <w:tc>
          <w:tcPr>
            <w:tcW w:type="dxa" w:w="1701"/>
          </w:tcPr>
          <w:p>
            <w:r>
              <w:rPr>
                <w:sz w:val="20"/>
              </w:rPr>
              <w:t>1.288</w:t>
            </w:r>
          </w:p>
        </w:tc>
        <w:tc>
          <w:tcPr>
            <w:tcW w:type="dxa" w:w="1701"/>
          </w:tcPr>
          <w:p>
            <w:r>
              <w:rPr>
                <w:sz w:val="20"/>
              </w:rPr>
              <w:t>0.800</w:t>
            </w:r>
          </w:p>
        </w:tc>
      </w:tr>
      <w:tr>
        <w:tc>
          <w:tcPr>
            <w:tcW w:type="dxa" w:w="2551"/>
            <w:shd w:val="clear" w:color="auto" w:fill="F2F2F2"/>
          </w:tcPr>
          <w:p>
            <w:r>
              <w:rPr>
                <w:sz w:val="20"/>
              </w:rPr>
              <w:t>LightGBM</w:t>
            </w:r>
          </w:p>
        </w:tc>
        <w:tc>
          <w:tcPr>
            <w:tcW w:type="dxa" w:w="1701"/>
            <w:shd w:val="clear" w:color="auto" w:fill="F2F2F2"/>
          </w:tcPr>
          <w:p>
            <w:r>
              <w:rPr>
                <w:sz w:val="20"/>
              </w:rPr>
              <w:t>0.797</w:t>
            </w:r>
          </w:p>
        </w:tc>
        <w:tc>
          <w:tcPr>
            <w:tcW w:type="dxa" w:w="1984"/>
            <w:shd w:val="clear" w:color="auto" w:fill="F2F2F2"/>
          </w:tcPr>
          <w:p>
            <w:r>
              <w:rPr>
                <w:sz w:val="20"/>
              </w:rPr>
              <w:t>0.653–0.923</w:t>
            </w:r>
          </w:p>
        </w:tc>
        <w:tc>
          <w:tcPr>
            <w:tcW w:type="dxa" w:w="1417"/>
            <w:shd w:val="clear" w:color="auto" w:fill="F2F2F2"/>
          </w:tcPr>
          <w:p>
            <w:r>
              <w:rPr>
                <w:sz w:val="20"/>
              </w:rPr>
              <w:t>0.171</w:t>
            </w:r>
          </w:p>
        </w:tc>
        <w:tc>
          <w:tcPr>
            <w:tcW w:type="dxa" w:w="1701"/>
            <w:shd w:val="clear" w:color="auto" w:fill="F2F2F2"/>
          </w:tcPr>
          <w:p>
            <w:r>
              <w:rPr>
                <w:sz w:val="20"/>
              </w:rPr>
              <w:t>1.053</w:t>
            </w:r>
          </w:p>
        </w:tc>
        <w:tc>
          <w:tcPr>
            <w:tcW w:type="dxa" w:w="1701"/>
            <w:shd w:val="clear" w:color="auto" w:fill="F2F2F2"/>
          </w:tcPr>
          <w:p>
            <w:r>
              <w:rPr>
                <w:sz w:val="20"/>
              </w:rPr>
              <w:t>0.808</w:t>
            </w:r>
          </w:p>
        </w:tc>
      </w:tr>
    </w:tbl>
    <w:p/>
    <w:p>
      <w:pPr>
        <w:spacing w:after="120"/>
      </w:pPr>
      <w:r>
        <w:t>All four models achieved very similar CV AUROCs (0.787–0.797) with small Harrell optimism (0.007–0.047), indicating minimal overfitting. LightGBM had the highest BC AUROC (0.808). Random Forest achieved a near-perfect calibration slope (1.013). The compact 5-feature set (creatinine, %IFTA, eGFR, % chronic gloms, subepithelial deposits) captures the key histopathological and renal function markers driving ESRD risk, and no model shows a significant performance advantage over LR (DeLong all non-significant after Holm correction).</w:t>
      </w:r>
    </w:p>
    <w:p>
      <w:pPr>
        <w:pStyle w:val="Heading2"/>
        <w:spacing w:before="160" w:after="80"/>
      </w:pPr>
      <w:r>
        <w:t>7.5 ESRD 10-Year Results  (src/esrd/01_esrd_modelling.py)</w:t>
      </w:r>
    </w:p>
    <w:p>
      <w:pPr>
        <w:spacing w:after="120"/>
      </w:pPr>
      <w:r>
        <w:t>n=796, 175 events (22.0%), 17 predictors. 5×10-fold CV + Harrell bootstrap.</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c>
          <w:tcPr>
            <w:tcW w:type="dxa" w:w="1701"/>
            <w:shd w:val="clear" w:color="auto" w:fill="BDD7EE"/>
          </w:tcPr>
          <w:p>
            <w:r>
              <w:rPr>
                <w:b/>
                <w:sz w:val="20"/>
              </w:rPr>
              <w:t>BC AUROC</w:t>
            </w:r>
          </w:p>
        </w:tc>
      </w:tr>
      <w:tr>
        <w:tc>
          <w:tcPr>
            <w:tcW w:type="dxa" w:w="2551"/>
          </w:tcPr>
          <w:p>
            <w:r>
              <w:rPr>
                <w:sz w:val="20"/>
              </w:rPr>
              <w:t>Logistic Regression</w:t>
            </w:r>
          </w:p>
        </w:tc>
        <w:tc>
          <w:tcPr>
            <w:tcW w:type="dxa" w:w="1701"/>
          </w:tcPr>
          <w:p>
            <w:r>
              <w:rPr>
                <w:sz w:val="20"/>
              </w:rPr>
              <w:t>0.811</w:t>
            </w:r>
          </w:p>
        </w:tc>
        <w:tc>
          <w:tcPr>
            <w:tcW w:type="dxa" w:w="1984"/>
          </w:tcPr>
          <w:p>
            <w:r>
              <w:rPr>
                <w:sz w:val="20"/>
              </w:rPr>
              <w:t>0.656–0.903</w:t>
            </w:r>
          </w:p>
        </w:tc>
        <w:tc>
          <w:tcPr>
            <w:tcW w:type="dxa" w:w="1417"/>
          </w:tcPr>
          <w:p>
            <w:r>
              <w:rPr>
                <w:sz w:val="20"/>
              </w:rPr>
              <w:t>0.167</w:t>
            </w:r>
          </w:p>
        </w:tc>
        <w:tc>
          <w:tcPr>
            <w:tcW w:type="dxa" w:w="1701"/>
          </w:tcPr>
          <w:p>
            <w:r>
              <w:rPr>
                <w:sz w:val="20"/>
              </w:rPr>
              <w:t>0.874</w:t>
            </w:r>
          </w:p>
        </w:tc>
        <w:tc>
          <w:tcPr>
            <w:tcW w:type="dxa" w:w="1701"/>
          </w:tcPr>
          <w:p>
            <w:r>
              <w:rPr>
                <w:sz w:val="20"/>
              </w:rPr>
              <w:t>0.817</w:t>
            </w:r>
          </w:p>
        </w:tc>
      </w:tr>
      <w:tr>
        <w:tc>
          <w:tcPr>
            <w:tcW w:type="dxa" w:w="2551"/>
            <w:shd w:val="clear" w:color="auto" w:fill="F2F2F2"/>
          </w:tcPr>
          <w:p>
            <w:r>
              <w:rPr>
                <w:sz w:val="20"/>
              </w:rPr>
              <w:t>Random Forest</w:t>
            </w:r>
          </w:p>
        </w:tc>
        <w:tc>
          <w:tcPr>
            <w:tcW w:type="dxa" w:w="1701"/>
            <w:shd w:val="clear" w:color="auto" w:fill="F2F2F2"/>
          </w:tcPr>
          <w:p>
            <w:r>
              <w:rPr>
                <w:sz w:val="20"/>
              </w:rPr>
              <w:t>0.817</w:t>
            </w:r>
          </w:p>
        </w:tc>
        <w:tc>
          <w:tcPr>
            <w:tcW w:type="dxa" w:w="1984"/>
            <w:shd w:val="clear" w:color="auto" w:fill="F2F2F2"/>
          </w:tcPr>
          <w:p>
            <w:r>
              <w:rPr>
                <w:sz w:val="20"/>
              </w:rPr>
              <w:t>0.710–0.931</w:t>
            </w:r>
          </w:p>
        </w:tc>
        <w:tc>
          <w:tcPr>
            <w:tcW w:type="dxa" w:w="1417"/>
            <w:shd w:val="clear" w:color="auto" w:fill="F2F2F2"/>
          </w:tcPr>
          <w:p>
            <w:r>
              <w:rPr>
                <w:sz w:val="20"/>
              </w:rPr>
              <w:t>0.139</w:t>
            </w:r>
          </w:p>
        </w:tc>
        <w:tc>
          <w:tcPr>
            <w:tcW w:type="dxa" w:w="1701"/>
            <w:shd w:val="clear" w:color="auto" w:fill="F2F2F2"/>
          </w:tcPr>
          <w:p>
            <w:r>
              <w:rPr>
                <w:sz w:val="20"/>
              </w:rPr>
              <w:t>1.152</w:t>
            </w:r>
          </w:p>
        </w:tc>
        <w:tc>
          <w:tcPr>
            <w:tcW w:type="dxa" w:w="1701"/>
            <w:shd w:val="clear" w:color="auto" w:fill="F2F2F2"/>
          </w:tcPr>
          <w:p>
            <w:r>
              <w:rPr>
                <w:sz w:val="20"/>
              </w:rPr>
              <w:t>0.897</w:t>
            </w:r>
          </w:p>
        </w:tc>
      </w:tr>
      <w:tr>
        <w:tc>
          <w:tcPr>
            <w:tcW w:type="dxa" w:w="2551"/>
          </w:tcPr>
          <w:p>
            <w:r>
              <w:rPr>
                <w:sz w:val="20"/>
              </w:rPr>
              <w:t>XGBoost</w:t>
            </w:r>
          </w:p>
        </w:tc>
        <w:tc>
          <w:tcPr>
            <w:tcW w:type="dxa" w:w="1701"/>
          </w:tcPr>
          <w:p>
            <w:r>
              <w:rPr>
                <w:sz w:val="20"/>
              </w:rPr>
              <w:t>0.821</w:t>
            </w:r>
          </w:p>
        </w:tc>
        <w:tc>
          <w:tcPr>
            <w:tcW w:type="dxa" w:w="1984"/>
          </w:tcPr>
          <w:p>
            <w:r>
              <w:rPr>
                <w:sz w:val="20"/>
              </w:rPr>
              <w:t>0.696–0.933</w:t>
            </w:r>
          </w:p>
        </w:tc>
        <w:tc>
          <w:tcPr>
            <w:tcW w:type="dxa" w:w="1417"/>
          </w:tcPr>
          <w:p>
            <w:r>
              <w:rPr>
                <w:sz w:val="20"/>
              </w:rPr>
              <w:t>0.155</w:t>
            </w:r>
          </w:p>
        </w:tc>
        <w:tc>
          <w:tcPr>
            <w:tcW w:type="dxa" w:w="1701"/>
          </w:tcPr>
          <w:p>
            <w:r>
              <w:rPr>
                <w:sz w:val="20"/>
              </w:rPr>
              <w:t>0.963</w:t>
            </w:r>
          </w:p>
        </w:tc>
        <w:tc>
          <w:tcPr>
            <w:tcW w:type="dxa" w:w="1701"/>
          </w:tcPr>
          <w:p>
            <w:r>
              <w:rPr>
                <w:sz w:val="20"/>
              </w:rPr>
              <w:t>0.849</w:t>
            </w:r>
          </w:p>
        </w:tc>
      </w:tr>
      <w:tr>
        <w:tc>
          <w:tcPr>
            <w:tcW w:type="dxa" w:w="2551"/>
            <w:shd w:val="clear" w:color="auto" w:fill="F2F2F2"/>
          </w:tcPr>
          <w:p>
            <w:r>
              <w:rPr>
                <w:sz w:val="20"/>
              </w:rPr>
              <w:t>LightGBM</w:t>
            </w:r>
          </w:p>
        </w:tc>
        <w:tc>
          <w:tcPr>
            <w:tcW w:type="dxa" w:w="1701"/>
            <w:shd w:val="clear" w:color="auto" w:fill="F2F2F2"/>
          </w:tcPr>
          <w:p>
            <w:r>
              <w:rPr>
                <w:sz w:val="20"/>
              </w:rPr>
              <w:t>0.809</w:t>
            </w:r>
          </w:p>
        </w:tc>
        <w:tc>
          <w:tcPr>
            <w:tcW w:type="dxa" w:w="1984"/>
            <w:shd w:val="clear" w:color="auto" w:fill="F2F2F2"/>
          </w:tcPr>
          <w:p>
            <w:r>
              <w:rPr>
                <w:sz w:val="20"/>
              </w:rPr>
              <w:t>0.701–0.926</w:t>
            </w:r>
          </w:p>
        </w:tc>
        <w:tc>
          <w:tcPr>
            <w:tcW w:type="dxa" w:w="1417"/>
            <w:shd w:val="clear" w:color="auto" w:fill="F2F2F2"/>
          </w:tcPr>
          <w:p>
            <w:r>
              <w:rPr>
                <w:sz w:val="20"/>
              </w:rPr>
              <w:t>0.140</w:t>
            </w:r>
          </w:p>
        </w:tc>
        <w:tc>
          <w:tcPr>
            <w:tcW w:type="dxa" w:w="1701"/>
            <w:shd w:val="clear" w:color="auto" w:fill="F2F2F2"/>
          </w:tcPr>
          <w:p>
            <w:r>
              <w:rPr>
                <w:sz w:val="20"/>
              </w:rPr>
              <w:t>0.714</w:t>
            </w:r>
          </w:p>
        </w:tc>
        <w:tc>
          <w:tcPr>
            <w:tcW w:type="dxa" w:w="1701"/>
            <w:shd w:val="clear" w:color="auto" w:fill="F2F2F2"/>
          </w:tcPr>
          <w:p>
            <w:r>
              <w:rPr>
                <w:sz w:val="20"/>
              </w:rPr>
              <w:t>0.926</w:t>
            </w:r>
          </w:p>
        </w:tc>
      </w:tr>
    </w:tbl>
    <w:p/>
    <w:p>
      <w:pPr>
        <w:spacing w:after="120"/>
      </w:pPr>
      <w:r>
        <w:t>All four models performed well (CV AUROC 0.809–0.821). The larger optimism corrections at 10 years (RF: 0.064, LGBM: 0.067) reflect the greater model complexity with 17 predictors. LightGBM achieved the highest BC AUROC (0.926) despite slightly lower CV AUROC, and its calibration slope (0.714) suggests mild under-prediction at high risk. The 10-year horizon shows marginally better discrimination than 5-year, consistent with more extreme outcomes (dialysis/death on RRT) being easier to discriminate from stable eGFR. No significant pairwise differences after Holm correction (see Section 8.3).</w:t>
      </w:r>
    </w:p>
    <w:p>
      <w:pPr>
        <w:pStyle w:val="Heading1"/>
        <w:spacing w:before="280" w:after="80"/>
      </w:pPr>
      <w:r>
        <w:t>8. Statistical Comparison — DeLong's Test</w:t>
      </w:r>
    </w:p>
    <w:p>
      <w:pPr>
        <w:pStyle w:val="Heading2"/>
        <w:spacing w:before="160" w:after="80"/>
      </w:pPr>
      <w:r>
        <w:t>8.1 Method</w:t>
      </w:r>
    </w:p>
    <w:p>
      <w:pPr>
        <w:spacing w:after="120"/>
      </w:pPr>
      <w:r>
        <w:t>DeLong's non-parametric test (DeLong et al., 1988, Biometrics 44:837–845) was used to compare AUROCs between all pairs of models within each cohort. The fast DeLong algorithm was implemented in Python using midrank statistics. Predicted probabilities were taken from out-of-fold CV predictions (averaged across repeats), ensuring paired comparisons on the same observations. Bonferroni-Holm correction was applied across the 6 pairwise tests within each cohort.</w:t>
      </w:r>
    </w:p>
    <w:p>
      <w:pPr>
        <w:pStyle w:val="Heading2"/>
        <w:spacing w:before="160" w:after="80"/>
      </w:pPr>
      <w:r>
        <w:t>8.2 Flare Cohort Results  (src/13_delong_test.py)</w:t>
      </w:r>
    </w:p>
    <w:p>
      <w:pPr>
        <w:spacing w:after="120"/>
      </w:pPr>
      <w:r>
        <w:t>1-Year cohort pairwise comparisons (OOF AUROC: LR=0.704, RF=0.685, XGB=0.669, LGBM=0.658):</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Model A</w:t>
            </w:r>
          </w:p>
        </w:tc>
        <w:tc>
          <w:tcPr>
            <w:tcW w:type="dxa" w:w="2268"/>
            <w:shd w:val="clear" w:color="auto" w:fill="BDD7EE"/>
          </w:tcPr>
          <w:p>
            <w:r>
              <w:rPr>
                <w:b/>
                <w:sz w:val="20"/>
              </w:rPr>
              <w:t>Model B</w:t>
            </w:r>
          </w:p>
        </w:tc>
        <w:tc>
          <w:tcPr>
            <w:tcW w:type="dxa" w:w="1417"/>
            <w:shd w:val="clear" w:color="auto" w:fill="BDD7EE"/>
          </w:tcPr>
          <w:p>
            <w:r>
              <w:rPr>
                <w:b/>
                <w:sz w:val="20"/>
              </w:rPr>
              <w:t>AUROC A</w:t>
            </w:r>
          </w:p>
        </w:tc>
        <w:tc>
          <w:tcPr>
            <w:tcW w:type="dxa" w:w="1417"/>
            <w:shd w:val="clear" w:color="auto" w:fill="BDD7EE"/>
          </w:tcPr>
          <w:p>
            <w:r>
              <w:rPr>
                <w:b/>
                <w:sz w:val="20"/>
              </w:rPr>
              <w:t>AUROC B</w:t>
            </w:r>
          </w:p>
        </w:tc>
        <w:tc>
          <w:tcPr>
            <w:tcW w:type="dxa" w:w="1417"/>
            <w:shd w:val="clear" w:color="auto" w:fill="BDD7EE"/>
          </w:tcPr>
          <w:p>
            <w:r>
              <w:rPr>
                <w:b/>
                <w:sz w:val="20"/>
              </w:rPr>
              <w:t>p (raw)</w:t>
            </w:r>
          </w:p>
        </w:tc>
        <w:tc>
          <w:tcPr>
            <w:tcW w:type="dxa" w:w="1417"/>
            <w:shd w:val="clear" w:color="auto" w:fill="BDD7EE"/>
          </w:tcPr>
          <w:p>
            <w:r>
              <w:rPr>
                <w:b/>
                <w:sz w:val="20"/>
              </w:rPr>
              <w:t>p (Holm)</w:t>
            </w:r>
          </w:p>
        </w:tc>
        <w:tc>
          <w:tcPr>
            <w:tcW w:type="dxa" w:w="1417"/>
            <w:shd w:val="clear" w:color="auto" w:fill="BDD7EE"/>
          </w:tcPr>
          <w:p>
            <w:r>
              <w:rPr>
                <w:b/>
                <w:sz w:val="20"/>
              </w:rPr>
              <w:t>Significant</w:t>
            </w:r>
          </w:p>
        </w:tc>
      </w:tr>
      <w:tr>
        <w:tc>
          <w:tcPr>
            <w:tcW w:type="dxa" w:w="2268"/>
          </w:tcPr>
          <w:p>
            <w:r>
              <w:rPr>
                <w:sz w:val="20"/>
              </w:rPr>
              <w:t>Logistic Regression</w:t>
            </w:r>
          </w:p>
        </w:tc>
        <w:tc>
          <w:tcPr>
            <w:tcW w:type="dxa" w:w="2268"/>
          </w:tcPr>
          <w:p>
            <w:r>
              <w:rPr>
                <w:sz w:val="20"/>
              </w:rPr>
              <w:t>Random Forest</w:t>
            </w:r>
          </w:p>
        </w:tc>
        <w:tc>
          <w:tcPr>
            <w:tcW w:type="dxa" w:w="1417"/>
          </w:tcPr>
          <w:p>
            <w:r>
              <w:rPr>
                <w:sz w:val="20"/>
              </w:rPr>
              <w:t>0.704</w:t>
            </w:r>
          </w:p>
        </w:tc>
        <w:tc>
          <w:tcPr>
            <w:tcW w:type="dxa" w:w="1417"/>
          </w:tcPr>
          <w:p>
            <w:r>
              <w:rPr>
                <w:sz w:val="20"/>
              </w:rPr>
              <w:t>0.685</w:t>
            </w:r>
          </w:p>
        </w:tc>
        <w:tc>
          <w:tcPr>
            <w:tcW w:type="dxa" w:w="1417"/>
          </w:tcPr>
          <w:p>
            <w:r>
              <w:rPr>
                <w:sz w:val="20"/>
              </w:rPr>
              <w:t>0.225</w:t>
            </w:r>
          </w:p>
        </w:tc>
        <w:tc>
          <w:tcPr>
            <w:tcW w:type="dxa" w:w="1417"/>
          </w:tcPr>
          <w:p>
            <w:r>
              <w:rPr>
                <w:sz w:val="20"/>
              </w:rPr>
              <w:t>0.450</w:t>
            </w:r>
          </w:p>
        </w:tc>
        <w:tc>
          <w:tcPr>
            <w:tcW w:type="dxa" w:w="1417"/>
          </w:tcPr>
          <w:p>
            <w:r>
              <w:rPr>
                <w:sz w:val="20"/>
              </w:rPr>
              <w:t>No</w:t>
            </w:r>
          </w:p>
        </w:tc>
      </w:tr>
      <w:tr>
        <w:tc>
          <w:tcPr>
            <w:tcW w:type="dxa" w:w="2268"/>
            <w:shd w:val="clear" w:color="auto" w:fill="F2F2F2"/>
          </w:tcPr>
          <w:p>
            <w:r>
              <w:rPr>
                <w:sz w:val="20"/>
              </w:rPr>
              <w:t>Logistic Regression</w:t>
            </w:r>
          </w:p>
        </w:tc>
        <w:tc>
          <w:tcPr>
            <w:tcW w:type="dxa" w:w="2268"/>
            <w:shd w:val="clear" w:color="auto" w:fill="F2F2F2"/>
          </w:tcPr>
          <w:p>
            <w:r>
              <w:rPr>
                <w:sz w:val="20"/>
              </w:rPr>
              <w:t>XGBoost</w:t>
            </w:r>
          </w:p>
        </w:tc>
        <w:tc>
          <w:tcPr>
            <w:tcW w:type="dxa" w:w="1417"/>
            <w:shd w:val="clear" w:color="auto" w:fill="F2F2F2"/>
          </w:tcPr>
          <w:p>
            <w:r>
              <w:rPr>
                <w:sz w:val="20"/>
              </w:rPr>
              <w:t>0.704</w:t>
            </w:r>
          </w:p>
        </w:tc>
        <w:tc>
          <w:tcPr>
            <w:tcW w:type="dxa" w:w="1417"/>
            <w:shd w:val="clear" w:color="auto" w:fill="F2F2F2"/>
          </w:tcPr>
          <w:p>
            <w:r>
              <w:rPr>
                <w:sz w:val="20"/>
              </w:rPr>
              <w:t>0.669</w:t>
            </w:r>
          </w:p>
        </w:tc>
        <w:tc>
          <w:tcPr>
            <w:tcW w:type="dxa" w:w="1417"/>
            <w:shd w:val="clear" w:color="auto" w:fill="F2F2F2"/>
          </w:tcPr>
          <w:p>
            <w:r>
              <w:rPr>
                <w:sz w:val="20"/>
              </w:rPr>
              <w:t>0.054</w:t>
            </w:r>
          </w:p>
        </w:tc>
        <w:tc>
          <w:tcPr>
            <w:tcW w:type="dxa" w:w="1417"/>
            <w:shd w:val="clear" w:color="auto" w:fill="F2F2F2"/>
          </w:tcPr>
          <w:p>
            <w:r>
              <w:rPr>
                <w:sz w:val="20"/>
              </w:rPr>
              <w:t>0.214</w:t>
            </w:r>
          </w:p>
        </w:tc>
        <w:tc>
          <w:tcPr>
            <w:tcW w:type="dxa" w:w="1417"/>
            <w:shd w:val="clear" w:color="auto" w:fill="F2F2F2"/>
          </w:tcPr>
          <w:p>
            <w:r>
              <w:rPr>
                <w:sz w:val="20"/>
              </w:rPr>
              <w:t>No</w:t>
            </w:r>
          </w:p>
        </w:tc>
      </w:tr>
      <w:tr>
        <w:tc>
          <w:tcPr>
            <w:tcW w:type="dxa" w:w="2268"/>
          </w:tcPr>
          <w:p>
            <w:r>
              <w:rPr>
                <w:sz w:val="20"/>
              </w:rPr>
              <w:t>Logistic Regression</w:t>
            </w:r>
          </w:p>
        </w:tc>
        <w:tc>
          <w:tcPr>
            <w:tcW w:type="dxa" w:w="2268"/>
          </w:tcPr>
          <w:p>
            <w:r>
              <w:rPr>
                <w:sz w:val="20"/>
              </w:rPr>
              <w:t>LightGBM</w:t>
            </w:r>
          </w:p>
        </w:tc>
        <w:tc>
          <w:tcPr>
            <w:tcW w:type="dxa" w:w="1417"/>
          </w:tcPr>
          <w:p>
            <w:r>
              <w:rPr>
                <w:sz w:val="20"/>
              </w:rPr>
              <w:t>0.704</w:t>
            </w:r>
          </w:p>
        </w:tc>
        <w:tc>
          <w:tcPr>
            <w:tcW w:type="dxa" w:w="1417"/>
          </w:tcPr>
          <w:p>
            <w:r>
              <w:rPr>
                <w:sz w:val="20"/>
              </w:rPr>
              <w:t>0.658</w:t>
            </w:r>
          </w:p>
        </w:tc>
        <w:tc>
          <w:tcPr>
            <w:tcW w:type="dxa" w:w="1417"/>
          </w:tcPr>
          <w:p>
            <w:r>
              <w:rPr>
                <w:sz w:val="20"/>
              </w:rPr>
              <w:t>0.014</w:t>
            </w:r>
          </w:p>
        </w:tc>
        <w:tc>
          <w:tcPr>
            <w:tcW w:type="dxa" w:w="1417"/>
          </w:tcPr>
          <w:p>
            <w:r>
              <w:rPr>
                <w:sz w:val="20"/>
              </w:rPr>
              <w:t>0.070</w:t>
            </w:r>
          </w:p>
        </w:tc>
        <w:tc>
          <w:tcPr>
            <w:tcW w:type="dxa" w:w="1417"/>
          </w:tcPr>
          <w:p>
            <w:r>
              <w:rPr>
                <w:sz w:val="20"/>
              </w:rPr>
              <w:t>No</w:t>
            </w:r>
          </w:p>
        </w:tc>
      </w:tr>
      <w:tr>
        <w:tc>
          <w:tcPr>
            <w:tcW w:type="dxa" w:w="2268"/>
            <w:shd w:val="clear" w:color="auto" w:fill="F2F2F2"/>
          </w:tcPr>
          <w:p>
            <w:r>
              <w:rPr>
                <w:sz w:val="20"/>
              </w:rPr>
              <w:t>Random Forest</w:t>
            </w:r>
          </w:p>
        </w:tc>
        <w:tc>
          <w:tcPr>
            <w:tcW w:type="dxa" w:w="2268"/>
            <w:shd w:val="clear" w:color="auto" w:fill="F2F2F2"/>
          </w:tcPr>
          <w:p>
            <w:r>
              <w:rPr>
                <w:sz w:val="20"/>
              </w:rPr>
              <w:t>XGBoost</w:t>
            </w:r>
          </w:p>
        </w:tc>
        <w:tc>
          <w:tcPr>
            <w:tcW w:type="dxa" w:w="1417"/>
            <w:shd w:val="clear" w:color="auto" w:fill="F2F2F2"/>
          </w:tcPr>
          <w:p>
            <w:r>
              <w:rPr>
                <w:sz w:val="20"/>
              </w:rPr>
              <w:t>0.685</w:t>
            </w:r>
          </w:p>
        </w:tc>
        <w:tc>
          <w:tcPr>
            <w:tcW w:type="dxa" w:w="1417"/>
            <w:shd w:val="clear" w:color="auto" w:fill="F2F2F2"/>
          </w:tcPr>
          <w:p>
            <w:r>
              <w:rPr>
                <w:sz w:val="20"/>
              </w:rPr>
              <w:t>0.669</w:t>
            </w:r>
          </w:p>
        </w:tc>
        <w:tc>
          <w:tcPr>
            <w:tcW w:type="dxa" w:w="1417"/>
            <w:shd w:val="clear" w:color="auto" w:fill="F2F2F2"/>
          </w:tcPr>
          <w:p>
            <w:r>
              <w:rPr>
                <w:sz w:val="20"/>
              </w:rPr>
              <w:t>0.109</w:t>
            </w:r>
          </w:p>
        </w:tc>
        <w:tc>
          <w:tcPr>
            <w:tcW w:type="dxa" w:w="1417"/>
            <w:shd w:val="clear" w:color="auto" w:fill="F2F2F2"/>
          </w:tcPr>
          <w:p>
            <w:r>
              <w:rPr>
                <w:sz w:val="20"/>
              </w:rPr>
              <w:t>0.326</w:t>
            </w:r>
          </w:p>
        </w:tc>
        <w:tc>
          <w:tcPr>
            <w:tcW w:type="dxa" w:w="1417"/>
            <w:shd w:val="clear" w:color="auto" w:fill="F2F2F2"/>
          </w:tcPr>
          <w:p>
            <w:r>
              <w:rPr>
                <w:sz w:val="20"/>
              </w:rPr>
              <w:t>No</w:t>
            </w:r>
          </w:p>
        </w:tc>
      </w:tr>
      <w:tr>
        <w:tc>
          <w:tcPr>
            <w:tcW w:type="dxa" w:w="2268"/>
          </w:tcPr>
          <w:p>
            <w:r>
              <w:rPr>
                <w:sz w:val="20"/>
              </w:rPr>
              <w:t>Random Forest</w:t>
            </w:r>
          </w:p>
        </w:tc>
        <w:tc>
          <w:tcPr>
            <w:tcW w:type="dxa" w:w="2268"/>
          </w:tcPr>
          <w:p>
            <w:r>
              <w:rPr>
                <w:sz w:val="20"/>
              </w:rPr>
              <w:t>LightGBM</w:t>
            </w:r>
          </w:p>
        </w:tc>
        <w:tc>
          <w:tcPr>
            <w:tcW w:type="dxa" w:w="1417"/>
          </w:tcPr>
          <w:p>
            <w:r>
              <w:rPr>
                <w:sz w:val="20"/>
              </w:rPr>
              <w:t>0.685</w:t>
            </w:r>
          </w:p>
        </w:tc>
        <w:tc>
          <w:tcPr>
            <w:tcW w:type="dxa" w:w="1417"/>
          </w:tcPr>
          <w:p>
            <w:r>
              <w:rPr>
                <w:sz w:val="20"/>
              </w:rPr>
              <w:t>0.658</w:t>
            </w:r>
          </w:p>
        </w:tc>
        <w:tc>
          <w:tcPr>
            <w:tcW w:type="dxa" w:w="1417"/>
          </w:tcPr>
          <w:p>
            <w:r>
              <w:rPr>
                <w:sz w:val="20"/>
              </w:rPr>
              <w:t>0.001</w:t>
            </w:r>
          </w:p>
        </w:tc>
        <w:tc>
          <w:tcPr>
            <w:tcW w:type="dxa" w:w="1417"/>
          </w:tcPr>
          <w:p>
            <w:r>
              <w:rPr>
                <w:sz w:val="20"/>
              </w:rPr>
              <w:t>0.006</w:t>
            </w:r>
          </w:p>
        </w:tc>
        <w:tc>
          <w:tcPr>
            <w:tcW w:type="dxa" w:w="1417"/>
          </w:tcPr>
          <w:p>
            <w:r>
              <w:rPr>
                <w:sz w:val="20"/>
              </w:rPr>
              <w:t>Yes</w:t>
            </w:r>
          </w:p>
        </w:tc>
      </w:tr>
      <w:tr>
        <w:tc>
          <w:tcPr>
            <w:tcW w:type="dxa" w:w="2268"/>
            <w:shd w:val="clear" w:color="auto" w:fill="F2F2F2"/>
          </w:tcPr>
          <w:p>
            <w:r>
              <w:rPr>
                <w:sz w:val="20"/>
              </w:rPr>
              <w:t>XGBoost</w:t>
            </w:r>
          </w:p>
        </w:tc>
        <w:tc>
          <w:tcPr>
            <w:tcW w:type="dxa" w:w="2268"/>
            <w:shd w:val="clear" w:color="auto" w:fill="F2F2F2"/>
          </w:tcPr>
          <w:p>
            <w:r>
              <w:rPr>
                <w:sz w:val="20"/>
              </w:rPr>
              <w:t>LightGBM</w:t>
            </w:r>
          </w:p>
        </w:tc>
        <w:tc>
          <w:tcPr>
            <w:tcW w:type="dxa" w:w="1417"/>
            <w:shd w:val="clear" w:color="auto" w:fill="F2F2F2"/>
          </w:tcPr>
          <w:p>
            <w:r>
              <w:rPr>
                <w:sz w:val="20"/>
              </w:rPr>
              <w:t>0.669</w:t>
            </w:r>
          </w:p>
        </w:tc>
        <w:tc>
          <w:tcPr>
            <w:tcW w:type="dxa" w:w="1417"/>
            <w:shd w:val="clear" w:color="auto" w:fill="F2F2F2"/>
          </w:tcPr>
          <w:p>
            <w:r>
              <w:rPr>
                <w:sz w:val="20"/>
              </w:rPr>
              <w:t>0.658</w:t>
            </w:r>
          </w:p>
        </w:tc>
        <w:tc>
          <w:tcPr>
            <w:tcW w:type="dxa" w:w="1417"/>
            <w:shd w:val="clear" w:color="auto" w:fill="F2F2F2"/>
          </w:tcPr>
          <w:p>
            <w:r>
              <w:rPr>
                <w:sz w:val="20"/>
              </w:rPr>
              <w:t>0.438</w:t>
            </w:r>
          </w:p>
        </w:tc>
        <w:tc>
          <w:tcPr>
            <w:tcW w:type="dxa" w:w="1417"/>
            <w:shd w:val="clear" w:color="auto" w:fill="F2F2F2"/>
          </w:tcPr>
          <w:p>
            <w:r>
              <w:rPr>
                <w:sz w:val="20"/>
              </w:rPr>
              <w:t>0.450</w:t>
            </w:r>
          </w:p>
        </w:tc>
        <w:tc>
          <w:tcPr>
            <w:tcW w:type="dxa" w:w="1417"/>
            <w:shd w:val="clear" w:color="auto" w:fill="F2F2F2"/>
          </w:tcPr>
          <w:p>
            <w:r>
              <w:rPr>
                <w:sz w:val="20"/>
              </w:rPr>
              <w:t>No</w:t>
            </w:r>
          </w:p>
        </w:tc>
      </w:tr>
    </w:tbl>
    <w:p/>
    <w:p>
      <w:pPr>
        <w:spacing w:after="120"/>
      </w:pPr>
      <w:r>
        <w:t>One significant difference was identified: Random Forest outperformed LightGBM (p=0.001 raw, p=0.006 Holm-corrected). All other comparisons were non-significant. No model was significantly better than Logistic Regression after correction.</w:t>
      </w:r>
    </w:p>
    <w:p>
      <w:pPr>
        <w:spacing w:after="120"/>
      </w:pPr>
      <w:r>
        <w:t>5-Year cohort: No significant pairwise differences after Bonferroni-Holm correction (all adjusted p ≥ 1.0). OOF AUROCs: LR=0.666, RF=0.677, XGB=0.666, LGBM=0.681.</w:t>
      </w:r>
    </w:p>
    <w:p>
      <w:pPr>
        <w:spacing w:after="120"/>
      </w:pPr>
      <w:r>
        <w:t>Serial biopsy cohort: No significant pairwise differences after correction (all adjusted p ≥ 0.26). Expected given n=70.</w:t>
      </w:r>
    </w:p>
    <w:p>
      <w:pPr>
        <w:spacing w:after="120"/>
      </w:pPr>
      <w:r>
        <w:t>Overall interpretation for flare: Across all three flare cohorts, there is no statistically significant difference in discrimination between the four classifiers, with the single exception of RF vs LightGBM in the 1-year cohort. Logistic Regression is at least as discriminatory as the tree-based approaches in all three settings, supporting its use as the primary model given its superior interpretability.</w:t>
      </w:r>
    </w:p>
    <w:p>
      <w:pPr>
        <w:pStyle w:val="Heading2"/>
        <w:spacing w:before="160" w:after="80"/>
      </w:pPr>
      <w:r>
        <w:t>8.3 ESRD Cohort Results  (src/esrd/03_esrd_delong.py)</w:t>
      </w:r>
    </w:p>
    <w:p>
      <w:pPr>
        <w:spacing w:after="120"/>
      </w:pPr>
      <w:r>
        <w:t>ESRD 5-Year pairwise comparisons (OOF AUROC: LR=0.796, RF=0.780, XGB=0.786, LGBM=0.788):</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Model A</w:t>
            </w:r>
          </w:p>
        </w:tc>
        <w:tc>
          <w:tcPr>
            <w:tcW w:type="dxa" w:w="2268"/>
            <w:shd w:val="clear" w:color="auto" w:fill="BDD7EE"/>
          </w:tcPr>
          <w:p>
            <w:r>
              <w:rPr>
                <w:b/>
                <w:sz w:val="20"/>
              </w:rPr>
              <w:t>Model B</w:t>
            </w:r>
          </w:p>
        </w:tc>
        <w:tc>
          <w:tcPr>
            <w:tcW w:type="dxa" w:w="1417"/>
            <w:shd w:val="clear" w:color="auto" w:fill="BDD7EE"/>
          </w:tcPr>
          <w:p>
            <w:r>
              <w:rPr>
                <w:b/>
                <w:sz w:val="20"/>
              </w:rPr>
              <w:t>AUROC A</w:t>
            </w:r>
          </w:p>
        </w:tc>
        <w:tc>
          <w:tcPr>
            <w:tcW w:type="dxa" w:w="1417"/>
            <w:shd w:val="clear" w:color="auto" w:fill="BDD7EE"/>
          </w:tcPr>
          <w:p>
            <w:r>
              <w:rPr>
                <w:b/>
                <w:sz w:val="20"/>
              </w:rPr>
              <w:t>AUROC B</w:t>
            </w:r>
          </w:p>
        </w:tc>
        <w:tc>
          <w:tcPr>
            <w:tcW w:type="dxa" w:w="1417"/>
            <w:shd w:val="clear" w:color="auto" w:fill="BDD7EE"/>
          </w:tcPr>
          <w:p>
            <w:r>
              <w:rPr>
                <w:b/>
                <w:sz w:val="20"/>
              </w:rPr>
              <w:t>p (raw)</w:t>
            </w:r>
          </w:p>
        </w:tc>
        <w:tc>
          <w:tcPr>
            <w:tcW w:type="dxa" w:w="1417"/>
            <w:shd w:val="clear" w:color="auto" w:fill="BDD7EE"/>
          </w:tcPr>
          <w:p>
            <w:r>
              <w:rPr>
                <w:b/>
                <w:sz w:val="20"/>
              </w:rPr>
              <w:t>p (Holm)</w:t>
            </w:r>
          </w:p>
        </w:tc>
        <w:tc>
          <w:tcPr>
            <w:tcW w:type="dxa" w:w="1417"/>
            <w:shd w:val="clear" w:color="auto" w:fill="BDD7EE"/>
          </w:tcPr>
          <w:p>
            <w:r>
              <w:rPr>
                <w:b/>
                <w:sz w:val="20"/>
              </w:rPr>
              <w:t>Significant</w:t>
            </w:r>
          </w:p>
        </w:tc>
      </w:tr>
      <w:tr>
        <w:tc>
          <w:tcPr>
            <w:tcW w:type="dxa" w:w="2268"/>
          </w:tcPr>
          <w:p>
            <w:r>
              <w:rPr>
                <w:sz w:val="20"/>
              </w:rPr>
              <w:t>Logistic Regression</w:t>
            </w:r>
          </w:p>
        </w:tc>
        <w:tc>
          <w:tcPr>
            <w:tcW w:type="dxa" w:w="2268"/>
          </w:tcPr>
          <w:p>
            <w:r>
              <w:rPr>
                <w:sz w:val="20"/>
              </w:rPr>
              <w:t>Random Forest</w:t>
            </w:r>
          </w:p>
        </w:tc>
        <w:tc>
          <w:tcPr>
            <w:tcW w:type="dxa" w:w="1417"/>
          </w:tcPr>
          <w:p>
            <w:r>
              <w:rPr>
                <w:sz w:val="20"/>
              </w:rPr>
              <w:t>0.796</w:t>
            </w:r>
          </w:p>
        </w:tc>
        <w:tc>
          <w:tcPr>
            <w:tcW w:type="dxa" w:w="1417"/>
          </w:tcPr>
          <w:p>
            <w:r>
              <w:rPr>
                <w:sz w:val="20"/>
              </w:rPr>
              <w:t>0.780</w:t>
            </w:r>
          </w:p>
        </w:tc>
        <w:tc>
          <w:tcPr>
            <w:tcW w:type="dxa" w:w="1417"/>
          </w:tcPr>
          <w:p>
            <w:r>
              <w:rPr>
                <w:sz w:val="20"/>
              </w:rPr>
              <w:t>0.134</w:t>
            </w:r>
          </w:p>
        </w:tc>
        <w:tc>
          <w:tcPr>
            <w:tcW w:type="dxa" w:w="1417"/>
          </w:tcPr>
          <w:p>
            <w:r>
              <w:rPr>
                <w:sz w:val="20"/>
              </w:rPr>
              <w:t>0.670</w:t>
            </w:r>
          </w:p>
        </w:tc>
        <w:tc>
          <w:tcPr>
            <w:tcW w:type="dxa" w:w="1417"/>
          </w:tcPr>
          <w:p>
            <w:r>
              <w:rPr>
                <w:sz w:val="20"/>
              </w:rPr>
              <w:t>No</w:t>
            </w:r>
          </w:p>
        </w:tc>
      </w:tr>
      <w:tr>
        <w:tc>
          <w:tcPr>
            <w:tcW w:type="dxa" w:w="2268"/>
            <w:shd w:val="clear" w:color="auto" w:fill="F2F2F2"/>
          </w:tcPr>
          <w:p>
            <w:r>
              <w:rPr>
                <w:sz w:val="20"/>
              </w:rPr>
              <w:t>Logistic Regression</w:t>
            </w:r>
          </w:p>
        </w:tc>
        <w:tc>
          <w:tcPr>
            <w:tcW w:type="dxa" w:w="2268"/>
            <w:shd w:val="clear" w:color="auto" w:fill="F2F2F2"/>
          </w:tcPr>
          <w:p>
            <w:r>
              <w:rPr>
                <w:sz w:val="20"/>
              </w:rPr>
              <w:t>XGBoost</w:t>
            </w:r>
          </w:p>
        </w:tc>
        <w:tc>
          <w:tcPr>
            <w:tcW w:type="dxa" w:w="1417"/>
            <w:shd w:val="clear" w:color="auto" w:fill="F2F2F2"/>
          </w:tcPr>
          <w:p>
            <w:r>
              <w:rPr>
                <w:sz w:val="20"/>
              </w:rPr>
              <w:t>0.796</w:t>
            </w:r>
          </w:p>
        </w:tc>
        <w:tc>
          <w:tcPr>
            <w:tcW w:type="dxa" w:w="1417"/>
            <w:shd w:val="clear" w:color="auto" w:fill="F2F2F2"/>
          </w:tcPr>
          <w:p>
            <w:r>
              <w:rPr>
                <w:sz w:val="20"/>
              </w:rPr>
              <w:t>0.786</w:t>
            </w:r>
          </w:p>
        </w:tc>
        <w:tc>
          <w:tcPr>
            <w:tcW w:type="dxa" w:w="1417"/>
            <w:shd w:val="clear" w:color="auto" w:fill="F2F2F2"/>
          </w:tcPr>
          <w:p>
            <w:r>
              <w:rPr>
                <w:sz w:val="20"/>
              </w:rPr>
              <w:t>0.284</w:t>
            </w:r>
          </w:p>
        </w:tc>
        <w:tc>
          <w:tcPr>
            <w:tcW w:type="dxa" w:w="1417"/>
            <w:shd w:val="clear" w:color="auto" w:fill="F2F2F2"/>
          </w:tcPr>
          <w:p>
            <w:r>
              <w:rPr>
                <w:sz w:val="20"/>
              </w:rPr>
              <w:t>0.853</w:t>
            </w:r>
          </w:p>
        </w:tc>
        <w:tc>
          <w:tcPr>
            <w:tcW w:type="dxa" w:w="1417"/>
            <w:shd w:val="clear" w:color="auto" w:fill="F2F2F2"/>
          </w:tcPr>
          <w:p>
            <w:r>
              <w:rPr>
                <w:sz w:val="20"/>
              </w:rPr>
              <w:t>No</w:t>
            </w:r>
          </w:p>
        </w:tc>
      </w:tr>
      <w:tr>
        <w:tc>
          <w:tcPr>
            <w:tcW w:type="dxa" w:w="2268"/>
          </w:tcPr>
          <w:p>
            <w:r>
              <w:rPr>
                <w:sz w:val="20"/>
              </w:rPr>
              <w:t>Logistic Regression</w:t>
            </w:r>
          </w:p>
        </w:tc>
        <w:tc>
          <w:tcPr>
            <w:tcW w:type="dxa" w:w="2268"/>
          </w:tcPr>
          <w:p>
            <w:r>
              <w:rPr>
                <w:sz w:val="20"/>
              </w:rPr>
              <w:t>LightGBM</w:t>
            </w:r>
          </w:p>
        </w:tc>
        <w:tc>
          <w:tcPr>
            <w:tcW w:type="dxa" w:w="1417"/>
          </w:tcPr>
          <w:p>
            <w:r>
              <w:rPr>
                <w:sz w:val="20"/>
              </w:rPr>
              <w:t>0.796</w:t>
            </w:r>
          </w:p>
        </w:tc>
        <w:tc>
          <w:tcPr>
            <w:tcW w:type="dxa" w:w="1417"/>
          </w:tcPr>
          <w:p>
            <w:r>
              <w:rPr>
                <w:sz w:val="20"/>
              </w:rPr>
              <w:t>0.788</w:t>
            </w:r>
          </w:p>
        </w:tc>
        <w:tc>
          <w:tcPr>
            <w:tcW w:type="dxa" w:w="1417"/>
          </w:tcPr>
          <w:p>
            <w:r>
              <w:rPr>
                <w:sz w:val="20"/>
              </w:rPr>
              <w:t>0.576</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Random Forest</w:t>
            </w:r>
          </w:p>
        </w:tc>
        <w:tc>
          <w:tcPr>
            <w:tcW w:type="dxa" w:w="2268"/>
            <w:shd w:val="clear" w:color="auto" w:fill="F2F2F2"/>
          </w:tcPr>
          <w:p>
            <w:r>
              <w:rPr>
                <w:sz w:val="20"/>
              </w:rPr>
              <w:t>XGBoost</w:t>
            </w:r>
          </w:p>
        </w:tc>
        <w:tc>
          <w:tcPr>
            <w:tcW w:type="dxa" w:w="1417"/>
            <w:shd w:val="clear" w:color="auto" w:fill="F2F2F2"/>
          </w:tcPr>
          <w:p>
            <w:r>
              <w:rPr>
                <w:sz w:val="20"/>
              </w:rPr>
              <w:t>0.780</w:t>
            </w:r>
          </w:p>
        </w:tc>
        <w:tc>
          <w:tcPr>
            <w:tcW w:type="dxa" w:w="1417"/>
            <w:shd w:val="clear" w:color="auto" w:fill="F2F2F2"/>
          </w:tcPr>
          <w:p>
            <w:r>
              <w:rPr>
                <w:sz w:val="20"/>
              </w:rPr>
              <w:t>0.786</w:t>
            </w:r>
          </w:p>
        </w:tc>
        <w:tc>
          <w:tcPr>
            <w:tcW w:type="dxa" w:w="1417"/>
            <w:shd w:val="clear" w:color="auto" w:fill="F2F2F2"/>
          </w:tcPr>
          <w:p>
            <w:r>
              <w:rPr>
                <w:sz w:val="20"/>
              </w:rPr>
              <w:t>0.040</w:t>
            </w:r>
          </w:p>
        </w:tc>
        <w:tc>
          <w:tcPr>
            <w:tcW w:type="dxa" w:w="1417"/>
            <w:shd w:val="clear" w:color="auto" w:fill="F2F2F2"/>
          </w:tcPr>
          <w:p>
            <w:r>
              <w:rPr>
                <w:sz w:val="20"/>
              </w:rPr>
              <w:t>0.239</w:t>
            </w:r>
          </w:p>
        </w:tc>
        <w:tc>
          <w:tcPr>
            <w:tcW w:type="dxa" w:w="1417"/>
            <w:shd w:val="clear" w:color="auto" w:fill="F2F2F2"/>
          </w:tcPr>
          <w:p>
            <w:r>
              <w:rPr>
                <w:sz w:val="20"/>
              </w:rPr>
              <w:t>No</w:t>
            </w:r>
          </w:p>
        </w:tc>
      </w:tr>
      <w:tr>
        <w:tc>
          <w:tcPr>
            <w:tcW w:type="dxa" w:w="2268"/>
          </w:tcPr>
          <w:p>
            <w:r>
              <w:rPr>
                <w:sz w:val="20"/>
              </w:rPr>
              <w:t>Random Forest</w:t>
            </w:r>
          </w:p>
        </w:tc>
        <w:tc>
          <w:tcPr>
            <w:tcW w:type="dxa" w:w="2268"/>
          </w:tcPr>
          <w:p>
            <w:r>
              <w:rPr>
                <w:sz w:val="20"/>
              </w:rPr>
              <w:t>LightGBM</w:t>
            </w:r>
          </w:p>
        </w:tc>
        <w:tc>
          <w:tcPr>
            <w:tcW w:type="dxa" w:w="1417"/>
          </w:tcPr>
          <w:p>
            <w:r>
              <w:rPr>
                <w:sz w:val="20"/>
              </w:rPr>
              <w:t>0.780</w:t>
            </w:r>
          </w:p>
        </w:tc>
        <w:tc>
          <w:tcPr>
            <w:tcW w:type="dxa" w:w="1417"/>
          </w:tcPr>
          <w:p>
            <w:r>
              <w:rPr>
                <w:sz w:val="20"/>
              </w:rPr>
              <w:t>0.788</w:t>
            </w:r>
          </w:p>
        </w:tc>
        <w:tc>
          <w:tcPr>
            <w:tcW w:type="dxa" w:w="1417"/>
          </w:tcPr>
          <w:p>
            <w:r>
              <w:rPr>
                <w:sz w:val="20"/>
              </w:rPr>
              <w:t>0.213</w:t>
            </w:r>
          </w:p>
        </w:tc>
        <w:tc>
          <w:tcPr>
            <w:tcW w:type="dxa" w:w="1417"/>
          </w:tcPr>
          <w:p>
            <w:r>
              <w:rPr>
                <w:sz w:val="20"/>
              </w:rPr>
              <w:t>0.850</w:t>
            </w:r>
          </w:p>
        </w:tc>
        <w:tc>
          <w:tcPr>
            <w:tcW w:type="dxa" w:w="1417"/>
          </w:tcPr>
          <w:p>
            <w:r>
              <w:rPr>
                <w:sz w:val="20"/>
              </w:rPr>
              <w:t>No</w:t>
            </w:r>
          </w:p>
        </w:tc>
      </w:tr>
      <w:tr>
        <w:tc>
          <w:tcPr>
            <w:tcW w:type="dxa" w:w="2268"/>
            <w:shd w:val="clear" w:color="auto" w:fill="F2F2F2"/>
          </w:tcPr>
          <w:p>
            <w:r>
              <w:rPr>
                <w:sz w:val="20"/>
              </w:rPr>
              <w:t>XGBoost</w:t>
            </w:r>
          </w:p>
        </w:tc>
        <w:tc>
          <w:tcPr>
            <w:tcW w:type="dxa" w:w="2268"/>
            <w:shd w:val="clear" w:color="auto" w:fill="F2F2F2"/>
          </w:tcPr>
          <w:p>
            <w:r>
              <w:rPr>
                <w:sz w:val="20"/>
              </w:rPr>
              <w:t>LightGBM</w:t>
            </w:r>
          </w:p>
        </w:tc>
        <w:tc>
          <w:tcPr>
            <w:tcW w:type="dxa" w:w="1417"/>
            <w:shd w:val="clear" w:color="auto" w:fill="F2F2F2"/>
          </w:tcPr>
          <w:p>
            <w:r>
              <w:rPr>
                <w:sz w:val="20"/>
              </w:rPr>
              <w:t>0.786</w:t>
            </w:r>
          </w:p>
        </w:tc>
        <w:tc>
          <w:tcPr>
            <w:tcW w:type="dxa" w:w="1417"/>
            <w:shd w:val="clear" w:color="auto" w:fill="F2F2F2"/>
          </w:tcPr>
          <w:p>
            <w:r>
              <w:rPr>
                <w:sz w:val="20"/>
              </w:rPr>
              <w:t>0.788</w:t>
            </w:r>
          </w:p>
        </w:tc>
        <w:tc>
          <w:tcPr>
            <w:tcW w:type="dxa" w:w="1417"/>
            <w:shd w:val="clear" w:color="auto" w:fill="F2F2F2"/>
          </w:tcPr>
          <w:p>
            <w:r>
              <w:rPr>
                <w:sz w:val="20"/>
              </w:rPr>
              <w:t>0.763</w:t>
            </w:r>
          </w:p>
        </w:tc>
        <w:tc>
          <w:tcPr>
            <w:tcW w:type="dxa" w:w="1417"/>
            <w:shd w:val="clear" w:color="auto" w:fill="F2F2F2"/>
          </w:tcPr>
          <w:p>
            <w:r>
              <w:rPr>
                <w:sz w:val="20"/>
              </w:rPr>
              <w:t>1.000</w:t>
            </w:r>
          </w:p>
        </w:tc>
        <w:tc>
          <w:tcPr>
            <w:tcW w:type="dxa" w:w="1417"/>
            <w:shd w:val="clear" w:color="auto" w:fill="F2F2F2"/>
          </w:tcPr>
          <w:p>
            <w:r>
              <w:rPr>
                <w:sz w:val="20"/>
              </w:rPr>
              <w:t>No</w:t>
            </w:r>
          </w:p>
        </w:tc>
      </w:tr>
    </w:tbl>
    <w:p/>
    <w:p>
      <w:pPr>
        <w:spacing w:after="120"/>
      </w:pPr>
      <w:r>
        <w:t>No significant pairwise differences at 5 years after Holm correction (all adjusted p ≥ 0.239). Models are essentially equivalent with only 5 features and 112 events. LR achieves the highest OOF AUROC (0.796), consistent with the small feature set favouring the linear model.</w:t>
      </w:r>
    </w:p>
    <w:p>
      <w:pPr>
        <w:spacing w:after="120"/>
      </w:pPr>
      <w:r>
        <w:t>ESRD 10-Year pairwise comparisons (OOF AUROC: LR=0.810, RF=0.816, XGB=0.820, LGBM=0.816):</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Model A</w:t>
            </w:r>
          </w:p>
        </w:tc>
        <w:tc>
          <w:tcPr>
            <w:tcW w:type="dxa" w:w="2268"/>
            <w:shd w:val="clear" w:color="auto" w:fill="BDD7EE"/>
          </w:tcPr>
          <w:p>
            <w:r>
              <w:rPr>
                <w:b/>
                <w:sz w:val="20"/>
              </w:rPr>
              <w:t>Model B</w:t>
            </w:r>
          </w:p>
        </w:tc>
        <w:tc>
          <w:tcPr>
            <w:tcW w:type="dxa" w:w="1417"/>
            <w:shd w:val="clear" w:color="auto" w:fill="BDD7EE"/>
          </w:tcPr>
          <w:p>
            <w:r>
              <w:rPr>
                <w:b/>
                <w:sz w:val="20"/>
              </w:rPr>
              <w:t>AUROC A</w:t>
            </w:r>
          </w:p>
        </w:tc>
        <w:tc>
          <w:tcPr>
            <w:tcW w:type="dxa" w:w="1417"/>
            <w:shd w:val="clear" w:color="auto" w:fill="BDD7EE"/>
          </w:tcPr>
          <w:p>
            <w:r>
              <w:rPr>
                <w:b/>
                <w:sz w:val="20"/>
              </w:rPr>
              <w:t>AUROC B</w:t>
            </w:r>
          </w:p>
        </w:tc>
        <w:tc>
          <w:tcPr>
            <w:tcW w:type="dxa" w:w="1417"/>
            <w:shd w:val="clear" w:color="auto" w:fill="BDD7EE"/>
          </w:tcPr>
          <w:p>
            <w:r>
              <w:rPr>
                <w:b/>
                <w:sz w:val="20"/>
              </w:rPr>
              <w:t>p (raw)</w:t>
            </w:r>
          </w:p>
        </w:tc>
        <w:tc>
          <w:tcPr>
            <w:tcW w:type="dxa" w:w="1417"/>
            <w:shd w:val="clear" w:color="auto" w:fill="BDD7EE"/>
          </w:tcPr>
          <w:p>
            <w:r>
              <w:rPr>
                <w:b/>
                <w:sz w:val="20"/>
              </w:rPr>
              <w:t>p (Holm)</w:t>
            </w:r>
          </w:p>
        </w:tc>
        <w:tc>
          <w:tcPr>
            <w:tcW w:type="dxa" w:w="1417"/>
            <w:shd w:val="clear" w:color="auto" w:fill="BDD7EE"/>
          </w:tcPr>
          <w:p>
            <w:r>
              <w:rPr>
                <w:b/>
                <w:sz w:val="20"/>
              </w:rPr>
              <w:t>Significant</w:t>
            </w:r>
          </w:p>
        </w:tc>
      </w:tr>
      <w:tr>
        <w:tc>
          <w:tcPr>
            <w:tcW w:type="dxa" w:w="2268"/>
          </w:tcPr>
          <w:p>
            <w:r>
              <w:rPr>
                <w:sz w:val="20"/>
              </w:rPr>
              <w:t>Logistic Regression</w:t>
            </w:r>
          </w:p>
        </w:tc>
        <w:tc>
          <w:tcPr>
            <w:tcW w:type="dxa" w:w="2268"/>
          </w:tcPr>
          <w:p>
            <w:r>
              <w:rPr>
                <w:sz w:val="20"/>
              </w:rPr>
              <w:t>Random Forest</w:t>
            </w:r>
          </w:p>
        </w:tc>
        <w:tc>
          <w:tcPr>
            <w:tcW w:type="dxa" w:w="1417"/>
          </w:tcPr>
          <w:p>
            <w:r>
              <w:rPr>
                <w:sz w:val="20"/>
              </w:rPr>
              <w:t>0.810</w:t>
            </w:r>
          </w:p>
        </w:tc>
        <w:tc>
          <w:tcPr>
            <w:tcW w:type="dxa" w:w="1417"/>
          </w:tcPr>
          <w:p>
            <w:r>
              <w:rPr>
                <w:sz w:val="20"/>
              </w:rPr>
              <w:t>0.816</w:t>
            </w:r>
          </w:p>
        </w:tc>
        <w:tc>
          <w:tcPr>
            <w:tcW w:type="dxa" w:w="1417"/>
          </w:tcPr>
          <w:p>
            <w:r>
              <w:rPr>
                <w:sz w:val="20"/>
              </w:rPr>
              <w:t>0.607</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Logistic Regression</w:t>
            </w:r>
          </w:p>
        </w:tc>
        <w:tc>
          <w:tcPr>
            <w:tcW w:type="dxa" w:w="2268"/>
            <w:shd w:val="clear" w:color="auto" w:fill="F2F2F2"/>
          </w:tcPr>
          <w:p>
            <w:r>
              <w:rPr>
                <w:sz w:val="20"/>
              </w:rPr>
              <w:t>XGBoost</w:t>
            </w:r>
          </w:p>
        </w:tc>
        <w:tc>
          <w:tcPr>
            <w:tcW w:type="dxa" w:w="1417"/>
            <w:shd w:val="clear" w:color="auto" w:fill="F2F2F2"/>
          </w:tcPr>
          <w:p>
            <w:r>
              <w:rPr>
                <w:sz w:val="20"/>
              </w:rPr>
              <w:t>0.810</w:t>
            </w:r>
          </w:p>
        </w:tc>
        <w:tc>
          <w:tcPr>
            <w:tcW w:type="dxa" w:w="1417"/>
            <w:shd w:val="clear" w:color="auto" w:fill="F2F2F2"/>
          </w:tcPr>
          <w:p>
            <w:r>
              <w:rPr>
                <w:sz w:val="20"/>
              </w:rPr>
              <w:t>0.820</w:t>
            </w:r>
          </w:p>
        </w:tc>
        <w:tc>
          <w:tcPr>
            <w:tcW w:type="dxa" w:w="1417"/>
            <w:shd w:val="clear" w:color="auto" w:fill="F2F2F2"/>
          </w:tcPr>
          <w:p>
            <w:r>
              <w:rPr>
                <w:sz w:val="20"/>
              </w:rPr>
              <w:t>0.356</w:t>
            </w:r>
          </w:p>
        </w:tc>
        <w:tc>
          <w:tcPr>
            <w:tcW w:type="dxa" w:w="1417"/>
            <w:shd w:val="clear" w:color="auto" w:fill="F2F2F2"/>
          </w:tcPr>
          <w:p>
            <w:r>
              <w:rPr>
                <w:sz w:val="20"/>
              </w:rPr>
              <w:t>1.000</w:t>
            </w:r>
          </w:p>
        </w:tc>
        <w:tc>
          <w:tcPr>
            <w:tcW w:type="dxa" w:w="1417"/>
            <w:shd w:val="clear" w:color="auto" w:fill="F2F2F2"/>
          </w:tcPr>
          <w:p>
            <w:r>
              <w:rPr>
                <w:sz w:val="20"/>
              </w:rPr>
              <w:t>No</w:t>
            </w:r>
          </w:p>
        </w:tc>
      </w:tr>
      <w:tr>
        <w:tc>
          <w:tcPr>
            <w:tcW w:type="dxa" w:w="2268"/>
          </w:tcPr>
          <w:p>
            <w:r>
              <w:rPr>
                <w:sz w:val="20"/>
              </w:rPr>
              <w:t>Logistic Regression</w:t>
            </w:r>
          </w:p>
        </w:tc>
        <w:tc>
          <w:tcPr>
            <w:tcW w:type="dxa" w:w="2268"/>
          </w:tcPr>
          <w:p>
            <w:r>
              <w:rPr>
                <w:sz w:val="20"/>
              </w:rPr>
              <w:t>LightGBM</w:t>
            </w:r>
          </w:p>
        </w:tc>
        <w:tc>
          <w:tcPr>
            <w:tcW w:type="dxa" w:w="1417"/>
          </w:tcPr>
          <w:p>
            <w:r>
              <w:rPr>
                <w:sz w:val="20"/>
              </w:rPr>
              <w:t>0.810</w:t>
            </w:r>
          </w:p>
        </w:tc>
        <w:tc>
          <w:tcPr>
            <w:tcW w:type="dxa" w:w="1417"/>
          </w:tcPr>
          <w:p>
            <w:r>
              <w:rPr>
                <w:sz w:val="20"/>
              </w:rPr>
              <w:t>0.816</w:t>
            </w:r>
          </w:p>
        </w:tc>
        <w:tc>
          <w:tcPr>
            <w:tcW w:type="dxa" w:w="1417"/>
          </w:tcPr>
          <w:p>
            <w:r>
              <w:rPr>
                <w:sz w:val="20"/>
              </w:rPr>
              <w:t>0.661</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Random Forest</w:t>
            </w:r>
          </w:p>
        </w:tc>
        <w:tc>
          <w:tcPr>
            <w:tcW w:type="dxa" w:w="2268"/>
            <w:shd w:val="clear" w:color="auto" w:fill="F2F2F2"/>
          </w:tcPr>
          <w:p>
            <w:r>
              <w:rPr>
                <w:sz w:val="20"/>
              </w:rPr>
              <w:t>XGBoost</w:t>
            </w:r>
          </w:p>
        </w:tc>
        <w:tc>
          <w:tcPr>
            <w:tcW w:type="dxa" w:w="1417"/>
            <w:shd w:val="clear" w:color="auto" w:fill="F2F2F2"/>
          </w:tcPr>
          <w:p>
            <w:r>
              <w:rPr>
                <w:sz w:val="20"/>
              </w:rPr>
              <w:t>0.816</w:t>
            </w:r>
          </w:p>
        </w:tc>
        <w:tc>
          <w:tcPr>
            <w:tcW w:type="dxa" w:w="1417"/>
            <w:shd w:val="clear" w:color="auto" w:fill="F2F2F2"/>
          </w:tcPr>
          <w:p>
            <w:r>
              <w:rPr>
                <w:sz w:val="20"/>
              </w:rPr>
              <w:t>0.820</w:t>
            </w:r>
          </w:p>
        </w:tc>
        <w:tc>
          <w:tcPr>
            <w:tcW w:type="dxa" w:w="1417"/>
            <w:shd w:val="clear" w:color="auto" w:fill="F2F2F2"/>
          </w:tcPr>
          <w:p>
            <w:r>
              <w:rPr>
                <w:sz w:val="20"/>
              </w:rPr>
              <w:t>0.522</w:t>
            </w:r>
          </w:p>
        </w:tc>
        <w:tc>
          <w:tcPr>
            <w:tcW w:type="dxa" w:w="1417"/>
            <w:shd w:val="clear" w:color="auto" w:fill="F2F2F2"/>
          </w:tcPr>
          <w:p>
            <w:r>
              <w:rPr>
                <w:sz w:val="20"/>
              </w:rPr>
              <w:t>1.000</w:t>
            </w:r>
          </w:p>
        </w:tc>
        <w:tc>
          <w:tcPr>
            <w:tcW w:type="dxa" w:w="1417"/>
            <w:shd w:val="clear" w:color="auto" w:fill="F2F2F2"/>
          </w:tcPr>
          <w:p>
            <w:r>
              <w:rPr>
                <w:sz w:val="20"/>
              </w:rPr>
              <w:t>No</w:t>
            </w:r>
          </w:p>
        </w:tc>
      </w:tr>
      <w:tr>
        <w:tc>
          <w:tcPr>
            <w:tcW w:type="dxa" w:w="2268"/>
          </w:tcPr>
          <w:p>
            <w:r>
              <w:rPr>
                <w:sz w:val="20"/>
              </w:rPr>
              <w:t>Random Forest</w:t>
            </w:r>
          </w:p>
        </w:tc>
        <w:tc>
          <w:tcPr>
            <w:tcW w:type="dxa" w:w="2268"/>
          </w:tcPr>
          <w:p>
            <w:r>
              <w:rPr>
                <w:sz w:val="20"/>
              </w:rPr>
              <w:t>LightGBM</w:t>
            </w:r>
          </w:p>
        </w:tc>
        <w:tc>
          <w:tcPr>
            <w:tcW w:type="dxa" w:w="1417"/>
          </w:tcPr>
          <w:p>
            <w:r>
              <w:rPr>
                <w:sz w:val="20"/>
              </w:rPr>
              <w:t>0.816</w:t>
            </w:r>
          </w:p>
        </w:tc>
        <w:tc>
          <w:tcPr>
            <w:tcW w:type="dxa" w:w="1417"/>
          </w:tcPr>
          <w:p>
            <w:r>
              <w:rPr>
                <w:sz w:val="20"/>
              </w:rPr>
              <w:t>0.816</w:t>
            </w:r>
          </w:p>
        </w:tc>
        <w:tc>
          <w:tcPr>
            <w:tcW w:type="dxa" w:w="1417"/>
          </w:tcPr>
          <w:p>
            <w:r>
              <w:rPr>
                <w:sz w:val="20"/>
              </w:rPr>
              <w:t>0.992</w:t>
            </w:r>
          </w:p>
        </w:tc>
        <w:tc>
          <w:tcPr>
            <w:tcW w:type="dxa" w:w="1417"/>
          </w:tcPr>
          <w:p>
            <w:r>
              <w:rPr>
                <w:sz w:val="20"/>
              </w:rPr>
              <w:t>1.000</w:t>
            </w:r>
          </w:p>
        </w:tc>
        <w:tc>
          <w:tcPr>
            <w:tcW w:type="dxa" w:w="1417"/>
          </w:tcPr>
          <w:p>
            <w:r>
              <w:rPr>
                <w:sz w:val="20"/>
              </w:rPr>
              <w:t>No</w:t>
            </w:r>
          </w:p>
        </w:tc>
      </w:tr>
      <w:tr>
        <w:tc>
          <w:tcPr>
            <w:tcW w:type="dxa" w:w="2268"/>
            <w:shd w:val="clear" w:color="auto" w:fill="F2F2F2"/>
          </w:tcPr>
          <w:p>
            <w:r>
              <w:rPr>
                <w:sz w:val="20"/>
              </w:rPr>
              <w:t>XGBoost</w:t>
            </w:r>
          </w:p>
        </w:tc>
        <w:tc>
          <w:tcPr>
            <w:tcW w:type="dxa" w:w="2268"/>
            <w:shd w:val="clear" w:color="auto" w:fill="F2F2F2"/>
          </w:tcPr>
          <w:p>
            <w:r>
              <w:rPr>
                <w:sz w:val="20"/>
              </w:rPr>
              <w:t>LightGBM</w:t>
            </w:r>
          </w:p>
        </w:tc>
        <w:tc>
          <w:tcPr>
            <w:tcW w:type="dxa" w:w="1417"/>
            <w:shd w:val="clear" w:color="auto" w:fill="F2F2F2"/>
          </w:tcPr>
          <w:p>
            <w:r>
              <w:rPr>
                <w:sz w:val="20"/>
              </w:rPr>
              <w:t>0.820</w:t>
            </w:r>
          </w:p>
        </w:tc>
        <w:tc>
          <w:tcPr>
            <w:tcW w:type="dxa" w:w="1417"/>
            <w:shd w:val="clear" w:color="auto" w:fill="F2F2F2"/>
          </w:tcPr>
          <w:p>
            <w:r>
              <w:rPr>
                <w:sz w:val="20"/>
              </w:rPr>
              <w:t>0.816</w:t>
            </w:r>
          </w:p>
        </w:tc>
        <w:tc>
          <w:tcPr>
            <w:tcW w:type="dxa" w:w="1417"/>
            <w:shd w:val="clear" w:color="auto" w:fill="F2F2F2"/>
          </w:tcPr>
          <w:p>
            <w:r>
              <w:rPr>
                <w:sz w:val="20"/>
              </w:rPr>
              <w:t>0.736</w:t>
            </w:r>
          </w:p>
        </w:tc>
        <w:tc>
          <w:tcPr>
            <w:tcW w:type="dxa" w:w="1417"/>
            <w:shd w:val="clear" w:color="auto" w:fill="F2F2F2"/>
          </w:tcPr>
          <w:p>
            <w:r>
              <w:rPr>
                <w:sz w:val="20"/>
              </w:rPr>
              <w:t>1.000</w:t>
            </w:r>
          </w:p>
        </w:tc>
        <w:tc>
          <w:tcPr>
            <w:tcW w:type="dxa" w:w="1417"/>
            <w:shd w:val="clear" w:color="auto" w:fill="F2F2F2"/>
          </w:tcPr>
          <w:p>
            <w:r>
              <w:rPr>
                <w:sz w:val="20"/>
              </w:rPr>
              <w:t>No</w:t>
            </w:r>
          </w:p>
        </w:tc>
      </w:tr>
    </w:tbl>
    <w:p/>
    <w:p>
      <w:pPr>
        <w:spacing w:after="120"/>
      </w:pPr>
      <w:r>
        <w:t>No significant pairwise differences at 10 years (all adjusted p = 1.000). Models are indistinguishable in discrimination on OOF predictions. This contrasts with the previous pipeline (12 hardcoded features) where tree models significantly outperformed LR — suggesting the prior advantage was partly driven by the larger predictor set (tree models better exploit interaction effects with more features). With the formal EPV-10 constrained feature set, no classifier type holds a significant advantage in either ESRD horizon.</w:t>
      </w:r>
    </w:p>
    <w:p>
      <w:pPr>
        <w:pStyle w:val="Heading1"/>
        <w:spacing w:before="280" w:after="80"/>
      </w:pPr>
      <w:r>
        <w:t>9. SHAP Explainability Analysis</w:t>
      </w:r>
    </w:p>
    <w:p>
      <w:pPr>
        <w:pStyle w:val="Heading2"/>
        <w:spacing w:before="160" w:after="80"/>
      </w:pPr>
      <w:r>
        <w:t>9.1 Method</w:t>
      </w:r>
    </w:p>
    <w:p>
      <w:pPr>
        <w:spacing w:after="120"/>
      </w:pPr>
      <w:r>
        <w:t>SHapley Additive exPlanations (SHAP) values were computed for all four models on the full training dataset. SHAP decomposes each individual prediction into per-feature contributions, with positive values indicating increased predicted probability of the outcome. Two explainer types were used:</w:t>
      </w:r>
    </w:p>
    <w:p>
      <w:pPr>
        <w:pStyle w:val="ListBullet"/>
        <w:spacing w:after="60"/>
        <w:ind w:left="340"/>
      </w:pPr>
      <w:r>
        <w:t>Logistic Regression: shap.LinearExplainer (interventional feature perturbation)</w:t>
      </w:r>
    </w:p>
    <w:p>
      <w:pPr>
        <w:pStyle w:val="ListBullet"/>
        <w:spacing w:after="60"/>
        <w:ind w:left="340"/>
      </w:pPr>
      <w:r>
        <w:t>Random Forest, XGBoost, LightGBM: shap.TreeExplainer (tree path dependent). For binary classification, class-1 SHAP values were extracted from the 3D output array (shape: n_samples × n_features × n_classes).</w:t>
      </w:r>
    </w:p>
    <w:p>
      <w:pPr>
        <w:spacing w:after="120"/>
      </w:pPr>
      <w:r>
        <w:t>For each model, three plot types were produced:</w:t>
      </w:r>
    </w:p>
    <w:p>
      <w:pPr>
        <w:pStyle w:val="ListBullet"/>
        <w:spacing w:after="60"/>
        <w:ind w:left="340"/>
      </w:pPr>
      <w:r>
        <w:t>Beeswarm plot — distribution of SHAP values per feature, coloured by feature value (high=red, low=blue)</w:t>
      </w:r>
    </w:p>
    <w:p>
      <w:pPr>
        <w:pStyle w:val="ListBullet"/>
        <w:spacing w:after="60"/>
        <w:ind w:left="340"/>
      </w:pPr>
      <w:r>
        <w:t>Bar plot — mean absolute SHAP value per feature (global feature importance ranking)</w:t>
      </w:r>
    </w:p>
    <w:p>
      <w:pPr>
        <w:pStyle w:val="ListBullet"/>
        <w:spacing w:after="60"/>
        <w:ind w:left="340"/>
      </w:pPr>
      <w:r>
        <w:t>Waterfall plots — individual explanations for the highest-risk patient, lowest-risk patient, and decision-boundary patient (predicted probability closest to 0.5)</w:t>
      </w:r>
    </w:p>
    <w:p>
      <w:pPr>
        <w:spacing w:after="120"/>
      </w:pPr>
      <w:r>
        <w:t>A cross-model comparison bar chart was produced for each cohort.</w:t>
      </w:r>
    </w:p>
    <w:p>
      <w:pPr>
        <w:pStyle w:val="Heading2"/>
        <w:spacing w:before="160" w:after="80"/>
      </w:pPr>
      <w:r>
        <w:t>9.2 1-Year SHAP Results  (src/1_year/07_shap_1yr.py)</w:t>
      </w:r>
    </w:p>
    <w:p>
      <w:pPr>
        <w:spacing w:after="120"/>
      </w:pPr>
      <w:r>
        <w:t>Mean absolute SHAP values per feature per model (sorted by cross-model mean):</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 chronic gloms</w:t>
            </w:r>
          </w:p>
        </w:tc>
        <w:tc>
          <w:tcPr>
            <w:tcW w:type="dxa" w:w="1247"/>
          </w:tcPr>
          <w:p>
            <w:r>
              <w:rPr>
                <w:sz w:val="20"/>
              </w:rPr>
              <w:t>0.367</w:t>
            </w:r>
          </w:p>
        </w:tc>
        <w:tc>
          <w:tcPr>
            <w:tcW w:type="dxa" w:w="1587"/>
          </w:tcPr>
          <w:p>
            <w:r>
              <w:rPr>
                <w:sz w:val="20"/>
              </w:rPr>
              <w:t>0.078</w:t>
            </w:r>
          </w:p>
        </w:tc>
        <w:tc>
          <w:tcPr>
            <w:tcW w:type="dxa" w:w="1247"/>
          </w:tcPr>
          <w:p>
            <w:r>
              <w:rPr>
                <w:sz w:val="20"/>
              </w:rPr>
              <w:t>0.139</w:t>
            </w:r>
          </w:p>
        </w:tc>
        <w:tc>
          <w:tcPr>
            <w:tcW w:type="dxa" w:w="1587"/>
          </w:tcPr>
          <w:p>
            <w:r>
              <w:rPr>
                <w:sz w:val="20"/>
              </w:rPr>
              <w:t>0.262</w:t>
            </w:r>
          </w:p>
        </w:tc>
        <w:tc>
          <w:tcPr>
            <w:tcW w:type="dxa" w:w="1134"/>
          </w:tcPr>
          <w:p>
            <w:r>
              <w:rPr>
                <w:sz w:val="20"/>
              </w:rPr>
              <w:t>0.211</w:t>
            </w:r>
          </w:p>
        </w:tc>
      </w:tr>
      <w:tr>
        <w:tc>
          <w:tcPr>
            <w:tcW w:type="dxa" w:w="2551"/>
            <w:shd w:val="clear" w:color="auto" w:fill="F2F2F2"/>
          </w:tcPr>
          <w:p>
            <w:r>
              <w:rPr>
                <w:sz w:val="20"/>
              </w:rPr>
              <w:t>Proteinuria at biopsy (log)</w:t>
            </w:r>
          </w:p>
        </w:tc>
        <w:tc>
          <w:tcPr>
            <w:tcW w:type="dxa" w:w="1247"/>
            <w:shd w:val="clear" w:color="auto" w:fill="F2F2F2"/>
          </w:tcPr>
          <w:p>
            <w:r>
              <w:rPr>
                <w:sz w:val="20"/>
              </w:rPr>
              <w:t>0.320</w:t>
            </w:r>
          </w:p>
        </w:tc>
        <w:tc>
          <w:tcPr>
            <w:tcW w:type="dxa" w:w="1587"/>
            <w:shd w:val="clear" w:color="auto" w:fill="F2F2F2"/>
          </w:tcPr>
          <w:p>
            <w:r>
              <w:rPr>
                <w:sz w:val="20"/>
              </w:rPr>
              <w:t>0.056</w:t>
            </w:r>
          </w:p>
        </w:tc>
        <w:tc>
          <w:tcPr>
            <w:tcW w:type="dxa" w:w="1247"/>
            <w:shd w:val="clear" w:color="auto" w:fill="F2F2F2"/>
          </w:tcPr>
          <w:p>
            <w:r>
              <w:rPr>
                <w:sz w:val="20"/>
              </w:rPr>
              <w:t>0.075</w:t>
            </w:r>
          </w:p>
        </w:tc>
        <w:tc>
          <w:tcPr>
            <w:tcW w:type="dxa" w:w="1587"/>
            <w:shd w:val="clear" w:color="auto" w:fill="F2F2F2"/>
          </w:tcPr>
          <w:p>
            <w:r>
              <w:rPr>
                <w:sz w:val="20"/>
              </w:rPr>
              <w:t>0.181</w:t>
            </w:r>
          </w:p>
        </w:tc>
        <w:tc>
          <w:tcPr>
            <w:tcW w:type="dxa" w:w="1134"/>
            <w:shd w:val="clear" w:color="auto" w:fill="F2F2F2"/>
          </w:tcPr>
          <w:p>
            <w:r>
              <w:rPr>
                <w:sz w:val="20"/>
              </w:rPr>
              <w:t>0.158</w:t>
            </w:r>
          </w:p>
        </w:tc>
      </w:tr>
      <w:tr>
        <w:tc>
          <w:tcPr>
            <w:tcW w:type="dxa" w:w="2551"/>
          </w:tcPr>
          <w:p>
            <w:r>
              <w:rPr>
                <w:sz w:val="20"/>
              </w:rPr>
              <w:t>% gloms with necrosis</w:t>
            </w:r>
          </w:p>
        </w:tc>
        <w:tc>
          <w:tcPr>
            <w:tcW w:type="dxa" w:w="1247"/>
          </w:tcPr>
          <w:p>
            <w:r>
              <w:rPr>
                <w:sz w:val="20"/>
              </w:rPr>
              <w:t>0.247</w:t>
            </w:r>
          </w:p>
        </w:tc>
        <w:tc>
          <w:tcPr>
            <w:tcW w:type="dxa" w:w="1587"/>
          </w:tcPr>
          <w:p>
            <w:r>
              <w:rPr>
                <w:sz w:val="20"/>
              </w:rPr>
              <w:t>0.014</w:t>
            </w:r>
          </w:p>
        </w:tc>
        <w:tc>
          <w:tcPr>
            <w:tcW w:type="dxa" w:w="1247"/>
          </w:tcPr>
          <w:p>
            <w:r>
              <w:rPr>
                <w:sz w:val="20"/>
              </w:rPr>
              <w:t>0.001</w:t>
            </w:r>
          </w:p>
        </w:tc>
        <w:tc>
          <w:tcPr>
            <w:tcW w:type="dxa" w:w="1587"/>
          </w:tcPr>
          <w:p>
            <w:r>
              <w:rPr>
                <w:sz w:val="20"/>
              </w:rPr>
              <w:t>0.026</w:t>
            </w:r>
          </w:p>
        </w:tc>
        <w:tc>
          <w:tcPr>
            <w:tcW w:type="dxa" w:w="1134"/>
          </w:tcPr>
          <w:p>
            <w:r>
              <w:rPr>
                <w:sz w:val="20"/>
              </w:rPr>
              <w:t>0.072</w:t>
            </w:r>
          </w:p>
        </w:tc>
      </w:tr>
      <w:tr>
        <w:tc>
          <w:tcPr>
            <w:tcW w:type="dxa" w:w="2551"/>
            <w:shd w:val="clear" w:color="auto" w:fill="F2F2F2"/>
          </w:tcPr>
          <w:p>
            <w:r>
              <w:rPr>
                <w:sz w:val="20"/>
              </w:rPr>
              <w:t>Age at biopsy</w:t>
            </w:r>
          </w:p>
        </w:tc>
        <w:tc>
          <w:tcPr>
            <w:tcW w:type="dxa" w:w="1247"/>
            <w:shd w:val="clear" w:color="auto" w:fill="F2F2F2"/>
          </w:tcPr>
          <w:p>
            <w:r>
              <w:rPr>
                <w:sz w:val="20"/>
              </w:rPr>
              <w:t>0.195</w:t>
            </w:r>
          </w:p>
        </w:tc>
        <w:tc>
          <w:tcPr>
            <w:tcW w:type="dxa" w:w="1587"/>
            <w:shd w:val="clear" w:color="auto" w:fill="F2F2F2"/>
          </w:tcPr>
          <w:p>
            <w:r>
              <w:rPr>
                <w:sz w:val="20"/>
              </w:rPr>
              <w:t>0.024</w:t>
            </w:r>
          </w:p>
        </w:tc>
        <w:tc>
          <w:tcPr>
            <w:tcW w:type="dxa" w:w="1247"/>
            <w:shd w:val="clear" w:color="auto" w:fill="F2F2F2"/>
          </w:tcPr>
          <w:p>
            <w:r>
              <w:rPr>
                <w:sz w:val="20"/>
              </w:rPr>
              <w:t>0.030</w:t>
            </w:r>
          </w:p>
        </w:tc>
        <w:tc>
          <w:tcPr>
            <w:tcW w:type="dxa" w:w="1587"/>
            <w:shd w:val="clear" w:color="auto" w:fill="F2F2F2"/>
          </w:tcPr>
          <w:p>
            <w:r>
              <w:rPr>
                <w:sz w:val="20"/>
              </w:rPr>
              <w:t>0.031</w:t>
            </w:r>
          </w:p>
        </w:tc>
        <w:tc>
          <w:tcPr>
            <w:tcW w:type="dxa" w:w="1134"/>
            <w:shd w:val="clear" w:color="auto" w:fill="F2F2F2"/>
          </w:tcPr>
          <w:p>
            <w:r>
              <w:rPr>
                <w:sz w:val="20"/>
              </w:rPr>
              <w:t>0.070</w:t>
            </w:r>
          </w:p>
        </w:tc>
      </w:tr>
      <w:tr>
        <w:tc>
          <w:tcPr>
            <w:tcW w:type="dxa" w:w="2551"/>
          </w:tcPr>
          <w:p>
            <w:r>
              <w:rPr>
                <w:sz w:val="20"/>
              </w:rPr>
              <w:t>LN class</w:t>
            </w:r>
          </w:p>
        </w:tc>
        <w:tc>
          <w:tcPr>
            <w:tcW w:type="dxa" w:w="1247"/>
          </w:tcPr>
          <w:p>
            <w:r>
              <w:rPr>
                <w:sz w:val="20"/>
              </w:rPr>
              <w:t>0.189</w:t>
            </w:r>
          </w:p>
        </w:tc>
        <w:tc>
          <w:tcPr>
            <w:tcW w:type="dxa" w:w="1587"/>
          </w:tcPr>
          <w:p>
            <w:r>
              <w:rPr>
                <w:sz w:val="20"/>
              </w:rPr>
              <w:t>0.017</w:t>
            </w:r>
          </w:p>
        </w:tc>
        <w:tc>
          <w:tcPr>
            <w:tcW w:type="dxa" w:w="1247"/>
          </w:tcPr>
          <w:p>
            <w:r>
              <w:rPr>
                <w:sz w:val="20"/>
              </w:rPr>
              <w:t>0.020</w:t>
            </w:r>
          </w:p>
        </w:tc>
        <w:tc>
          <w:tcPr>
            <w:tcW w:type="dxa" w:w="1587"/>
          </w:tcPr>
          <w:p>
            <w:r>
              <w:rPr>
                <w:sz w:val="20"/>
              </w:rPr>
              <w:t>0.012</w:t>
            </w:r>
          </w:p>
        </w:tc>
        <w:tc>
          <w:tcPr>
            <w:tcW w:type="dxa" w:w="1134"/>
          </w:tcPr>
          <w:p>
            <w:r>
              <w:rPr>
                <w:sz w:val="20"/>
              </w:rPr>
              <w:t>0.059</w:t>
            </w:r>
          </w:p>
        </w:tc>
      </w:tr>
      <w:tr>
        <w:tc>
          <w:tcPr>
            <w:tcW w:type="dxa" w:w="2551"/>
            <w:shd w:val="clear" w:color="auto" w:fill="F2F2F2"/>
          </w:tcPr>
          <w:p>
            <w:r>
              <w:rPr>
                <w:sz w:val="20"/>
              </w:rPr>
              <w:t>Ethnicity</w:t>
            </w:r>
          </w:p>
        </w:tc>
        <w:tc>
          <w:tcPr>
            <w:tcW w:type="dxa" w:w="1247"/>
            <w:shd w:val="clear" w:color="auto" w:fill="F2F2F2"/>
          </w:tcPr>
          <w:p>
            <w:r>
              <w:rPr>
                <w:sz w:val="20"/>
              </w:rPr>
              <w:t>0.191</w:t>
            </w:r>
          </w:p>
        </w:tc>
        <w:tc>
          <w:tcPr>
            <w:tcW w:type="dxa" w:w="1587"/>
            <w:shd w:val="clear" w:color="auto" w:fill="F2F2F2"/>
          </w:tcPr>
          <w:p>
            <w:r>
              <w:rPr>
                <w:sz w:val="20"/>
              </w:rPr>
              <w:t>0.009</w:t>
            </w:r>
          </w:p>
        </w:tc>
        <w:tc>
          <w:tcPr>
            <w:tcW w:type="dxa" w:w="1247"/>
            <w:shd w:val="clear" w:color="auto" w:fill="F2F2F2"/>
          </w:tcPr>
          <w:p>
            <w:r>
              <w:rPr>
                <w:sz w:val="20"/>
              </w:rPr>
              <w:t>0.015</w:t>
            </w:r>
          </w:p>
        </w:tc>
        <w:tc>
          <w:tcPr>
            <w:tcW w:type="dxa" w:w="1587"/>
            <w:shd w:val="clear" w:color="auto" w:fill="F2F2F2"/>
          </w:tcPr>
          <w:p>
            <w:r>
              <w:rPr>
                <w:sz w:val="20"/>
              </w:rPr>
              <w:t>0.000</w:t>
            </w:r>
          </w:p>
        </w:tc>
        <w:tc>
          <w:tcPr>
            <w:tcW w:type="dxa" w:w="1134"/>
            <w:shd w:val="clear" w:color="auto" w:fill="F2F2F2"/>
          </w:tcPr>
          <w:p>
            <w:r>
              <w:rPr>
                <w:sz w:val="20"/>
              </w:rPr>
              <w:t>0.054</w:t>
            </w:r>
          </w:p>
        </w:tc>
      </w:tr>
      <w:tr>
        <w:tc>
          <w:tcPr>
            <w:tcW w:type="dxa" w:w="2551"/>
          </w:tcPr>
          <w:p>
            <w:r>
              <w:rPr>
                <w:sz w:val="20"/>
              </w:rPr>
              <w:t>% active gloms</w:t>
            </w:r>
          </w:p>
        </w:tc>
        <w:tc>
          <w:tcPr>
            <w:tcW w:type="dxa" w:w="1247"/>
          </w:tcPr>
          <w:p>
            <w:r>
              <w:rPr>
                <w:sz w:val="20"/>
              </w:rPr>
              <w:t>0.051</w:t>
            </w:r>
          </w:p>
        </w:tc>
        <w:tc>
          <w:tcPr>
            <w:tcW w:type="dxa" w:w="1587"/>
          </w:tcPr>
          <w:p>
            <w:r>
              <w:rPr>
                <w:sz w:val="20"/>
              </w:rPr>
              <w:t>0.012</w:t>
            </w:r>
          </w:p>
        </w:tc>
        <w:tc>
          <w:tcPr>
            <w:tcW w:type="dxa" w:w="1247"/>
          </w:tcPr>
          <w:p>
            <w:r>
              <w:rPr>
                <w:sz w:val="20"/>
              </w:rPr>
              <w:t>0.029</w:t>
            </w:r>
          </w:p>
        </w:tc>
        <w:tc>
          <w:tcPr>
            <w:tcW w:type="dxa" w:w="1587"/>
          </w:tcPr>
          <w:p>
            <w:r>
              <w:rPr>
                <w:sz w:val="20"/>
              </w:rPr>
              <w:t>0.046</w:t>
            </w:r>
          </w:p>
        </w:tc>
        <w:tc>
          <w:tcPr>
            <w:tcW w:type="dxa" w:w="1134"/>
          </w:tcPr>
          <w:p>
            <w:r>
              <w:rPr>
                <w:sz w:val="20"/>
              </w:rPr>
              <w:t>0.034</w:t>
            </w:r>
          </w:p>
        </w:tc>
      </w:tr>
      <w:tr>
        <w:tc>
          <w:tcPr>
            <w:tcW w:type="dxa" w:w="2551"/>
            <w:shd w:val="clear" w:color="auto" w:fill="F2F2F2"/>
          </w:tcPr>
          <w:p>
            <w:r>
              <w:rPr>
                <w:sz w:val="20"/>
              </w:rPr>
              <w:t>C4 at biopsy</w:t>
            </w:r>
          </w:p>
        </w:tc>
        <w:tc>
          <w:tcPr>
            <w:tcW w:type="dxa" w:w="1247"/>
            <w:shd w:val="clear" w:color="auto" w:fill="F2F2F2"/>
          </w:tcPr>
          <w:p>
            <w:r>
              <w:rPr>
                <w:sz w:val="20"/>
              </w:rPr>
              <w:t>0.062</w:t>
            </w:r>
          </w:p>
        </w:tc>
        <w:tc>
          <w:tcPr>
            <w:tcW w:type="dxa" w:w="1587"/>
            <w:shd w:val="clear" w:color="auto" w:fill="F2F2F2"/>
          </w:tcPr>
          <w:p>
            <w:r>
              <w:rPr>
                <w:sz w:val="20"/>
              </w:rPr>
              <w:t>0.010</w:t>
            </w:r>
          </w:p>
        </w:tc>
        <w:tc>
          <w:tcPr>
            <w:tcW w:type="dxa" w:w="1247"/>
            <w:shd w:val="clear" w:color="auto" w:fill="F2F2F2"/>
          </w:tcPr>
          <w:p>
            <w:r>
              <w:rPr>
                <w:sz w:val="20"/>
              </w:rPr>
              <w:t>0.030</w:t>
            </w:r>
          </w:p>
        </w:tc>
        <w:tc>
          <w:tcPr>
            <w:tcW w:type="dxa" w:w="1587"/>
            <w:shd w:val="clear" w:color="auto" w:fill="F2F2F2"/>
          </w:tcPr>
          <w:p>
            <w:r>
              <w:rPr>
                <w:sz w:val="20"/>
              </w:rPr>
              <w:t>0.010</w:t>
            </w:r>
          </w:p>
        </w:tc>
        <w:tc>
          <w:tcPr>
            <w:tcW w:type="dxa" w:w="1134"/>
            <w:shd w:val="clear" w:color="auto" w:fill="F2F2F2"/>
          </w:tcPr>
          <w:p>
            <w:r>
              <w:rPr>
                <w:sz w:val="20"/>
              </w:rPr>
              <w:t>0.028</w:t>
            </w:r>
          </w:p>
        </w:tc>
      </w:tr>
      <w:tr>
        <w:tc>
          <w:tcPr>
            <w:tcW w:type="dxa" w:w="2551"/>
          </w:tcPr>
          <w:p>
            <w:r>
              <w:rPr>
                <w:sz w:val="20"/>
              </w:rPr>
              <w:t>% gloms with crescents</w:t>
            </w:r>
          </w:p>
        </w:tc>
        <w:tc>
          <w:tcPr>
            <w:tcW w:type="dxa" w:w="1247"/>
          </w:tcPr>
          <w:p>
            <w:r>
              <w:rPr>
                <w:sz w:val="20"/>
              </w:rPr>
              <w:t>0.040</w:t>
            </w:r>
          </w:p>
        </w:tc>
        <w:tc>
          <w:tcPr>
            <w:tcW w:type="dxa" w:w="1587"/>
          </w:tcPr>
          <w:p>
            <w:r>
              <w:rPr>
                <w:sz w:val="20"/>
              </w:rPr>
              <w:t>0.008</w:t>
            </w:r>
          </w:p>
        </w:tc>
        <w:tc>
          <w:tcPr>
            <w:tcW w:type="dxa" w:w="1247"/>
          </w:tcPr>
          <w:p>
            <w:r>
              <w:rPr>
                <w:sz w:val="20"/>
              </w:rPr>
              <w:t>0.023</w:t>
            </w:r>
          </w:p>
        </w:tc>
        <w:tc>
          <w:tcPr>
            <w:tcW w:type="dxa" w:w="1587"/>
          </w:tcPr>
          <w:p>
            <w:r>
              <w:rPr>
                <w:sz w:val="20"/>
              </w:rPr>
              <w:t>0.000</w:t>
            </w:r>
          </w:p>
        </w:tc>
        <w:tc>
          <w:tcPr>
            <w:tcW w:type="dxa" w:w="1134"/>
          </w:tcPr>
          <w:p>
            <w:r>
              <w:rPr>
                <w:sz w:val="20"/>
              </w:rPr>
              <w:t>0.018</w:t>
            </w:r>
          </w:p>
        </w:tc>
      </w:tr>
    </w:tbl>
    <w:p/>
    <w:p>
      <w:pPr>
        <w:spacing w:after="120"/>
      </w:pPr>
      <w:r>
        <w:t>% chronic gloms and proteinuria at biopsy were the two most important predictors across all models. Logistic Regression assigned substantially higher SHAP magnitudes than tree models, consistent with its linear decision boundary amplifying feature contributions. Tree models showed flatter importance distributions — RF in particular assigned very low SHAP to necrosis and ethnicity. LightGBM and XGBoost assigned near-zero importance to % crescents, suggesting this feature contributed mainly through the LR pathway.</w:t>
      </w:r>
    </w:p>
    <w:p>
      <w:pPr>
        <w:pStyle w:val="Heading2"/>
        <w:spacing w:before="160" w:after="80"/>
      </w:pPr>
      <w:r>
        <w:t>9.3 5-Year SHAP Results  (src/5_year/06_shap_5yr.py)</w:t>
      </w:r>
    </w:p>
    <w:p>
      <w:pPr>
        <w:spacing w:after="120"/>
      </w:pPr>
      <w:r>
        <w:t>Mean absolute SHAP values per feature per model (sorted by cross-model mean):</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 chronic gloms</w:t>
            </w:r>
          </w:p>
        </w:tc>
        <w:tc>
          <w:tcPr>
            <w:tcW w:type="dxa" w:w="1247"/>
          </w:tcPr>
          <w:p>
            <w:r>
              <w:rPr>
                <w:sz w:val="20"/>
              </w:rPr>
              <w:t>0.322</w:t>
            </w:r>
          </w:p>
        </w:tc>
        <w:tc>
          <w:tcPr>
            <w:tcW w:type="dxa" w:w="1587"/>
          </w:tcPr>
          <w:p>
            <w:r>
              <w:rPr>
                <w:sz w:val="20"/>
              </w:rPr>
              <w:t>0.060</w:t>
            </w:r>
          </w:p>
        </w:tc>
        <w:tc>
          <w:tcPr>
            <w:tcW w:type="dxa" w:w="1247"/>
          </w:tcPr>
          <w:p>
            <w:r>
              <w:rPr>
                <w:sz w:val="20"/>
              </w:rPr>
              <w:t>0.072</w:t>
            </w:r>
          </w:p>
        </w:tc>
        <w:tc>
          <w:tcPr>
            <w:tcW w:type="dxa" w:w="1587"/>
          </w:tcPr>
          <w:p>
            <w:r>
              <w:rPr>
                <w:sz w:val="20"/>
              </w:rPr>
              <w:t>0.197</w:t>
            </w:r>
          </w:p>
        </w:tc>
        <w:tc>
          <w:tcPr>
            <w:tcW w:type="dxa" w:w="1134"/>
          </w:tcPr>
          <w:p>
            <w:r>
              <w:rPr>
                <w:sz w:val="20"/>
              </w:rPr>
              <w:t>0.163</w:t>
            </w:r>
          </w:p>
        </w:tc>
      </w:tr>
      <w:tr>
        <w:tc>
          <w:tcPr>
            <w:tcW w:type="dxa" w:w="2551"/>
            <w:shd w:val="clear" w:color="auto" w:fill="F2F2F2"/>
          </w:tcPr>
          <w:p>
            <w:r>
              <w:rPr>
                <w:sz w:val="20"/>
              </w:rPr>
              <w:t>Age at biopsy</w:t>
            </w:r>
          </w:p>
        </w:tc>
        <w:tc>
          <w:tcPr>
            <w:tcW w:type="dxa" w:w="1247"/>
            <w:shd w:val="clear" w:color="auto" w:fill="F2F2F2"/>
          </w:tcPr>
          <w:p>
            <w:r>
              <w:rPr>
                <w:sz w:val="20"/>
              </w:rPr>
              <w:t>0.219</w:t>
            </w:r>
          </w:p>
        </w:tc>
        <w:tc>
          <w:tcPr>
            <w:tcW w:type="dxa" w:w="1587"/>
            <w:shd w:val="clear" w:color="auto" w:fill="F2F2F2"/>
          </w:tcPr>
          <w:p>
            <w:r>
              <w:rPr>
                <w:sz w:val="20"/>
              </w:rPr>
              <w:t>0.048</w:t>
            </w:r>
          </w:p>
        </w:tc>
        <w:tc>
          <w:tcPr>
            <w:tcW w:type="dxa" w:w="1247"/>
            <w:shd w:val="clear" w:color="auto" w:fill="F2F2F2"/>
          </w:tcPr>
          <w:p>
            <w:r>
              <w:rPr>
                <w:sz w:val="20"/>
              </w:rPr>
              <w:t>0.049</w:t>
            </w:r>
          </w:p>
        </w:tc>
        <w:tc>
          <w:tcPr>
            <w:tcW w:type="dxa" w:w="1587"/>
            <w:shd w:val="clear" w:color="auto" w:fill="F2F2F2"/>
          </w:tcPr>
          <w:p>
            <w:r>
              <w:rPr>
                <w:sz w:val="20"/>
              </w:rPr>
              <w:t>0.166</w:t>
            </w:r>
          </w:p>
        </w:tc>
        <w:tc>
          <w:tcPr>
            <w:tcW w:type="dxa" w:w="1134"/>
            <w:shd w:val="clear" w:color="auto" w:fill="F2F2F2"/>
          </w:tcPr>
          <w:p>
            <w:r>
              <w:rPr>
                <w:sz w:val="20"/>
              </w:rPr>
              <w:t>0.120</w:t>
            </w:r>
          </w:p>
        </w:tc>
      </w:tr>
      <w:tr>
        <w:tc>
          <w:tcPr>
            <w:tcW w:type="dxa" w:w="2551"/>
          </w:tcPr>
          <w:p>
            <w:r>
              <w:rPr>
                <w:sz w:val="20"/>
              </w:rPr>
              <w:t>LN class</w:t>
            </w:r>
          </w:p>
        </w:tc>
        <w:tc>
          <w:tcPr>
            <w:tcW w:type="dxa" w:w="1247"/>
          </w:tcPr>
          <w:p>
            <w:r>
              <w:rPr>
                <w:sz w:val="20"/>
              </w:rPr>
              <w:t>0.204</w:t>
            </w:r>
          </w:p>
        </w:tc>
        <w:tc>
          <w:tcPr>
            <w:tcW w:type="dxa" w:w="1587"/>
          </w:tcPr>
          <w:p>
            <w:r>
              <w:rPr>
                <w:sz w:val="20"/>
              </w:rPr>
              <w:t>0.022</w:t>
            </w:r>
          </w:p>
        </w:tc>
        <w:tc>
          <w:tcPr>
            <w:tcW w:type="dxa" w:w="1247"/>
          </w:tcPr>
          <w:p>
            <w:r>
              <w:rPr>
                <w:sz w:val="20"/>
              </w:rPr>
              <w:t>0.031</w:t>
            </w:r>
          </w:p>
        </w:tc>
        <w:tc>
          <w:tcPr>
            <w:tcW w:type="dxa" w:w="1587"/>
          </w:tcPr>
          <w:p>
            <w:r>
              <w:rPr>
                <w:sz w:val="20"/>
              </w:rPr>
              <w:t>0.070</w:t>
            </w:r>
          </w:p>
        </w:tc>
        <w:tc>
          <w:tcPr>
            <w:tcW w:type="dxa" w:w="1134"/>
          </w:tcPr>
          <w:p>
            <w:r>
              <w:rPr>
                <w:sz w:val="20"/>
              </w:rPr>
              <w:t>0.082</w:t>
            </w:r>
          </w:p>
        </w:tc>
      </w:tr>
      <w:tr>
        <w:tc>
          <w:tcPr>
            <w:tcW w:type="dxa" w:w="2551"/>
            <w:shd w:val="clear" w:color="auto" w:fill="F2F2F2"/>
          </w:tcPr>
          <w:p>
            <w:r>
              <w:rPr>
                <w:sz w:val="20"/>
              </w:rPr>
              <w:t>% sclerosed gloms</w:t>
            </w:r>
          </w:p>
        </w:tc>
        <w:tc>
          <w:tcPr>
            <w:tcW w:type="dxa" w:w="1247"/>
            <w:shd w:val="clear" w:color="auto" w:fill="F2F2F2"/>
          </w:tcPr>
          <w:p>
            <w:r>
              <w:rPr>
                <w:sz w:val="20"/>
              </w:rPr>
              <w:t>0.092</w:t>
            </w:r>
          </w:p>
        </w:tc>
        <w:tc>
          <w:tcPr>
            <w:tcW w:type="dxa" w:w="1587"/>
            <w:shd w:val="clear" w:color="auto" w:fill="F2F2F2"/>
          </w:tcPr>
          <w:p>
            <w:r>
              <w:rPr>
                <w:sz w:val="20"/>
              </w:rPr>
              <w:t>0.035</w:t>
            </w:r>
          </w:p>
        </w:tc>
        <w:tc>
          <w:tcPr>
            <w:tcW w:type="dxa" w:w="1247"/>
            <w:shd w:val="clear" w:color="auto" w:fill="F2F2F2"/>
          </w:tcPr>
          <w:p>
            <w:r>
              <w:rPr>
                <w:sz w:val="20"/>
              </w:rPr>
              <w:t>0.066</w:t>
            </w:r>
          </w:p>
        </w:tc>
        <w:tc>
          <w:tcPr>
            <w:tcW w:type="dxa" w:w="1587"/>
            <w:shd w:val="clear" w:color="auto" w:fill="F2F2F2"/>
          </w:tcPr>
          <w:p>
            <w:r>
              <w:rPr>
                <w:sz w:val="20"/>
              </w:rPr>
              <w:t>0.087</w:t>
            </w:r>
          </w:p>
        </w:tc>
        <w:tc>
          <w:tcPr>
            <w:tcW w:type="dxa" w:w="1134"/>
            <w:shd w:val="clear" w:color="auto" w:fill="F2F2F2"/>
          </w:tcPr>
          <w:p>
            <w:r>
              <w:rPr>
                <w:sz w:val="20"/>
              </w:rPr>
              <w:t>0.070</w:t>
            </w:r>
          </w:p>
        </w:tc>
      </w:tr>
      <w:tr>
        <w:tc>
          <w:tcPr>
            <w:tcW w:type="dxa" w:w="2551"/>
          </w:tcPr>
          <w:p>
            <w:r>
              <w:rPr>
                <w:sz w:val="20"/>
              </w:rPr>
              <w:t>% active gloms</w:t>
            </w:r>
          </w:p>
        </w:tc>
        <w:tc>
          <w:tcPr>
            <w:tcW w:type="dxa" w:w="1247"/>
          </w:tcPr>
          <w:p>
            <w:r>
              <w:rPr>
                <w:sz w:val="20"/>
              </w:rPr>
              <w:t>0.192</w:t>
            </w:r>
          </w:p>
        </w:tc>
        <w:tc>
          <w:tcPr>
            <w:tcW w:type="dxa" w:w="1587"/>
          </w:tcPr>
          <w:p>
            <w:r>
              <w:rPr>
                <w:sz w:val="20"/>
              </w:rPr>
              <w:t>0.014</w:t>
            </w:r>
          </w:p>
        </w:tc>
        <w:tc>
          <w:tcPr>
            <w:tcW w:type="dxa" w:w="1247"/>
          </w:tcPr>
          <w:p>
            <w:r>
              <w:rPr>
                <w:sz w:val="20"/>
              </w:rPr>
              <w:t>0.020</w:t>
            </w:r>
          </w:p>
        </w:tc>
        <w:tc>
          <w:tcPr>
            <w:tcW w:type="dxa" w:w="1587"/>
          </w:tcPr>
          <w:p>
            <w:r>
              <w:rPr>
                <w:sz w:val="20"/>
              </w:rPr>
              <w:t>0.052</w:t>
            </w:r>
          </w:p>
        </w:tc>
        <w:tc>
          <w:tcPr>
            <w:tcW w:type="dxa" w:w="1134"/>
          </w:tcPr>
          <w:p>
            <w:r>
              <w:rPr>
                <w:sz w:val="20"/>
              </w:rPr>
              <w:t>0.070</w:t>
            </w:r>
          </w:p>
        </w:tc>
      </w:tr>
      <w:tr>
        <w:tc>
          <w:tcPr>
            <w:tcW w:type="dxa" w:w="2551"/>
            <w:shd w:val="clear" w:color="auto" w:fill="F2F2F2"/>
          </w:tcPr>
          <w:p>
            <w:r>
              <w:rPr>
                <w:sz w:val="20"/>
              </w:rPr>
              <w:t>% gloms with necrosis</w:t>
            </w:r>
          </w:p>
        </w:tc>
        <w:tc>
          <w:tcPr>
            <w:tcW w:type="dxa" w:w="1247"/>
            <w:shd w:val="clear" w:color="auto" w:fill="F2F2F2"/>
          </w:tcPr>
          <w:p>
            <w:r>
              <w:rPr>
                <w:sz w:val="20"/>
              </w:rPr>
              <w:t>0.155</w:t>
            </w:r>
          </w:p>
        </w:tc>
        <w:tc>
          <w:tcPr>
            <w:tcW w:type="dxa" w:w="1587"/>
            <w:shd w:val="clear" w:color="auto" w:fill="F2F2F2"/>
          </w:tcPr>
          <w:p>
            <w:r>
              <w:rPr>
                <w:sz w:val="20"/>
              </w:rPr>
              <w:t>0.007</w:t>
            </w:r>
          </w:p>
        </w:tc>
        <w:tc>
          <w:tcPr>
            <w:tcW w:type="dxa" w:w="1247"/>
            <w:shd w:val="clear" w:color="auto" w:fill="F2F2F2"/>
          </w:tcPr>
          <w:p>
            <w:r>
              <w:rPr>
                <w:sz w:val="20"/>
              </w:rPr>
              <w:t>0.001</w:t>
            </w:r>
          </w:p>
        </w:tc>
        <w:tc>
          <w:tcPr>
            <w:tcW w:type="dxa" w:w="1587"/>
            <w:shd w:val="clear" w:color="auto" w:fill="F2F2F2"/>
          </w:tcPr>
          <w:p>
            <w:r>
              <w:rPr>
                <w:sz w:val="20"/>
              </w:rPr>
              <w:t>0.047</w:t>
            </w:r>
          </w:p>
        </w:tc>
        <w:tc>
          <w:tcPr>
            <w:tcW w:type="dxa" w:w="1134"/>
            <w:shd w:val="clear" w:color="auto" w:fill="F2F2F2"/>
          </w:tcPr>
          <w:p>
            <w:r>
              <w:rPr>
                <w:sz w:val="20"/>
              </w:rPr>
              <w:t>0.052</w:t>
            </w:r>
          </w:p>
        </w:tc>
      </w:tr>
      <w:tr>
        <w:tc>
          <w:tcPr>
            <w:tcW w:type="dxa" w:w="2551"/>
          </w:tcPr>
          <w:p>
            <w:r>
              <w:rPr>
                <w:sz w:val="20"/>
              </w:rPr>
              <w:t>Prev exposure to cyclo</w:t>
            </w:r>
          </w:p>
        </w:tc>
        <w:tc>
          <w:tcPr>
            <w:tcW w:type="dxa" w:w="1247"/>
          </w:tcPr>
          <w:p>
            <w:r>
              <w:rPr>
                <w:sz w:val="20"/>
              </w:rPr>
              <w:t>0.050</w:t>
            </w:r>
          </w:p>
        </w:tc>
        <w:tc>
          <w:tcPr>
            <w:tcW w:type="dxa" w:w="1587"/>
          </w:tcPr>
          <w:p>
            <w:r>
              <w:rPr>
                <w:sz w:val="20"/>
              </w:rPr>
              <w:t>0.026</w:t>
            </w:r>
          </w:p>
        </w:tc>
        <w:tc>
          <w:tcPr>
            <w:tcW w:type="dxa" w:w="1247"/>
          </w:tcPr>
          <w:p>
            <w:r>
              <w:rPr>
                <w:sz w:val="20"/>
              </w:rPr>
              <w:t>0.038</w:t>
            </w:r>
          </w:p>
        </w:tc>
        <w:tc>
          <w:tcPr>
            <w:tcW w:type="dxa" w:w="1587"/>
          </w:tcPr>
          <w:p>
            <w:r>
              <w:rPr>
                <w:sz w:val="20"/>
              </w:rPr>
              <w:t>0.064</w:t>
            </w:r>
          </w:p>
        </w:tc>
        <w:tc>
          <w:tcPr>
            <w:tcW w:type="dxa" w:w="1134"/>
          </w:tcPr>
          <w:p>
            <w:r>
              <w:rPr>
                <w:sz w:val="20"/>
              </w:rPr>
              <w:t>0.044</w:t>
            </w:r>
          </w:p>
        </w:tc>
      </w:tr>
      <w:tr>
        <w:tc>
          <w:tcPr>
            <w:tcW w:type="dxa" w:w="2551"/>
            <w:shd w:val="clear" w:color="auto" w:fill="F2F2F2"/>
          </w:tcPr>
          <w:p>
            <w:r>
              <w:rPr>
                <w:sz w:val="20"/>
              </w:rPr>
              <w:t>Reason for biopsy</w:t>
            </w:r>
          </w:p>
        </w:tc>
        <w:tc>
          <w:tcPr>
            <w:tcW w:type="dxa" w:w="1247"/>
            <w:shd w:val="clear" w:color="auto" w:fill="F2F2F2"/>
          </w:tcPr>
          <w:p>
            <w:r>
              <w:rPr>
                <w:sz w:val="20"/>
              </w:rPr>
              <w:t>0.105</w:t>
            </w:r>
          </w:p>
        </w:tc>
        <w:tc>
          <w:tcPr>
            <w:tcW w:type="dxa" w:w="1587"/>
            <w:shd w:val="clear" w:color="auto" w:fill="F2F2F2"/>
          </w:tcPr>
          <w:p>
            <w:r>
              <w:rPr>
                <w:sz w:val="20"/>
              </w:rPr>
              <w:t>0.008</w:t>
            </w:r>
          </w:p>
        </w:tc>
        <w:tc>
          <w:tcPr>
            <w:tcW w:type="dxa" w:w="1247"/>
            <w:shd w:val="clear" w:color="auto" w:fill="F2F2F2"/>
          </w:tcPr>
          <w:p>
            <w:r>
              <w:rPr>
                <w:sz w:val="20"/>
              </w:rPr>
              <w:t>0.014</w:t>
            </w:r>
          </w:p>
        </w:tc>
        <w:tc>
          <w:tcPr>
            <w:tcW w:type="dxa" w:w="1587"/>
            <w:shd w:val="clear" w:color="auto" w:fill="F2F2F2"/>
          </w:tcPr>
          <w:p>
            <w:r>
              <w:rPr>
                <w:sz w:val="20"/>
              </w:rPr>
              <w:t>0.000</w:t>
            </w:r>
          </w:p>
        </w:tc>
        <w:tc>
          <w:tcPr>
            <w:tcW w:type="dxa" w:w="1134"/>
            <w:shd w:val="clear" w:color="auto" w:fill="F2F2F2"/>
          </w:tcPr>
          <w:p>
            <w:r>
              <w:rPr>
                <w:sz w:val="20"/>
              </w:rPr>
              <w:t>0.032</w:t>
            </w:r>
          </w:p>
        </w:tc>
      </w:tr>
      <w:tr>
        <w:tc>
          <w:tcPr>
            <w:tcW w:type="dxa" w:w="2551"/>
          </w:tcPr>
          <w:p>
            <w:r>
              <w:rPr>
                <w:sz w:val="20"/>
              </w:rPr>
              <w:t>CKD-EPI eGFR</w:t>
            </w:r>
          </w:p>
        </w:tc>
        <w:tc>
          <w:tcPr>
            <w:tcW w:type="dxa" w:w="1247"/>
          </w:tcPr>
          <w:p>
            <w:r>
              <w:rPr>
                <w:sz w:val="20"/>
              </w:rPr>
              <w:t>0.047</w:t>
            </w:r>
          </w:p>
        </w:tc>
        <w:tc>
          <w:tcPr>
            <w:tcW w:type="dxa" w:w="1587"/>
          </w:tcPr>
          <w:p>
            <w:r>
              <w:rPr>
                <w:sz w:val="20"/>
              </w:rPr>
              <w:t>0.010</w:t>
            </w:r>
          </w:p>
        </w:tc>
        <w:tc>
          <w:tcPr>
            <w:tcW w:type="dxa" w:w="1247"/>
          </w:tcPr>
          <w:p>
            <w:r>
              <w:rPr>
                <w:sz w:val="20"/>
              </w:rPr>
              <w:t>0.007</w:t>
            </w:r>
          </w:p>
        </w:tc>
        <w:tc>
          <w:tcPr>
            <w:tcW w:type="dxa" w:w="1587"/>
          </w:tcPr>
          <w:p>
            <w:r>
              <w:rPr>
                <w:sz w:val="20"/>
              </w:rPr>
              <w:t>0.043</w:t>
            </w:r>
          </w:p>
        </w:tc>
        <w:tc>
          <w:tcPr>
            <w:tcW w:type="dxa" w:w="1134"/>
          </w:tcPr>
          <w:p>
            <w:r>
              <w:rPr>
                <w:sz w:val="20"/>
              </w:rPr>
              <w:t>0.027</w:t>
            </w:r>
          </w:p>
        </w:tc>
      </w:tr>
      <w:tr>
        <w:tc>
          <w:tcPr>
            <w:tcW w:type="dxa" w:w="2551"/>
            <w:shd w:val="clear" w:color="auto" w:fill="F2F2F2"/>
          </w:tcPr>
          <w:p>
            <w:r>
              <w:rPr>
                <w:sz w:val="20"/>
              </w:rPr>
              <w:t>Ethnicity</w:t>
            </w:r>
          </w:p>
        </w:tc>
        <w:tc>
          <w:tcPr>
            <w:tcW w:type="dxa" w:w="1247"/>
            <w:shd w:val="clear" w:color="auto" w:fill="F2F2F2"/>
          </w:tcPr>
          <w:p>
            <w:r>
              <w:rPr>
                <w:sz w:val="20"/>
              </w:rPr>
              <w:t>0.056</w:t>
            </w:r>
          </w:p>
        </w:tc>
        <w:tc>
          <w:tcPr>
            <w:tcW w:type="dxa" w:w="1587"/>
            <w:shd w:val="clear" w:color="auto" w:fill="F2F2F2"/>
          </w:tcPr>
          <w:p>
            <w:r>
              <w:rPr>
                <w:sz w:val="20"/>
              </w:rPr>
              <w:t>0.002</w:t>
            </w:r>
          </w:p>
        </w:tc>
        <w:tc>
          <w:tcPr>
            <w:tcW w:type="dxa" w:w="1247"/>
            <w:shd w:val="clear" w:color="auto" w:fill="F2F2F2"/>
          </w:tcPr>
          <w:p>
            <w:r>
              <w:rPr>
                <w:sz w:val="20"/>
              </w:rPr>
              <w:t>0.001</w:t>
            </w:r>
          </w:p>
        </w:tc>
        <w:tc>
          <w:tcPr>
            <w:tcW w:type="dxa" w:w="1587"/>
            <w:shd w:val="clear" w:color="auto" w:fill="F2F2F2"/>
          </w:tcPr>
          <w:p>
            <w:r>
              <w:rPr>
                <w:sz w:val="20"/>
              </w:rPr>
              <w:t>0.010</w:t>
            </w:r>
          </w:p>
        </w:tc>
        <w:tc>
          <w:tcPr>
            <w:tcW w:type="dxa" w:w="1134"/>
            <w:shd w:val="clear" w:color="auto" w:fill="F2F2F2"/>
          </w:tcPr>
          <w:p>
            <w:r>
              <w:rPr>
                <w:sz w:val="20"/>
              </w:rPr>
              <w:t>0.017</w:t>
            </w:r>
          </w:p>
        </w:tc>
      </w:tr>
    </w:tbl>
    <w:p/>
    <w:p>
      <w:pPr>
        <w:spacing w:after="120"/>
      </w:pPr>
      <w:r>
        <w:t>% chronic gloms remained the most important predictor (mean |SHAP| = 0.163). Age at biopsy was the second most important in the 5-year model (0.120), more prominent than in the 1-year model, consistent with age being a stronger driver of long-term renal progression than of short-term inflammatory flare. LN class (0.082) and % active gloms (0.070) also contributed meaningfully. Ethnicity and eGFR were the least important features.</w:t>
      </w:r>
    </w:p>
    <w:p>
      <w:pPr>
        <w:pStyle w:val="Heading2"/>
        <w:spacing w:before="160" w:after="80"/>
      </w:pPr>
      <w:r>
        <w:t>9.4 ESRD SHAP Results  (src/esrd/02_esrd_shap.py)</w:t>
      </w:r>
    </w:p>
    <w:p>
      <w:pPr>
        <w:spacing w:after="120"/>
      </w:pPr>
      <w:r>
        <w:t>ESRD 5-Year — Mean absolute SHAP values per feature per model (sorted by cross-model mean):</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Creatinine at biopsy</w:t>
            </w:r>
          </w:p>
        </w:tc>
        <w:tc>
          <w:tcPr>
            <w:tcW w:type="dxa" w:w="1247"/>
          </w:tcPr>
          <w:p>
            <w:r>
              <w:rPr>
                <w:sz w:val="20"/>
              </w:rPr>
              <w:t>0.334</w:t>
            </w:r>
          </w:p>
        </w:tc>
        <w:tc>
          <w:tcPr>
            <w:tcW w:type="dxa" w:w="1587"/>
          </w:tcPr>
          <w:p>
            <w:r>
              <w:rPr>
                <w:sz w:val="20"/>
              </w:rPr>
              <w:t>0.112</w:t>
            </w:r>
          </w:p>
        </w:tc>
        <w:tc>
          <w:tcPr>
            <w:tcW w:type="dxa" w:w="1247"/>
          </w:tcPr>
          <w:p>
            <w:r>
              <w:rPr>
                <w:sz w:val="20"/>
              </w:rPr>
              <w:t>0.340</w:t>
            </w:r>
          </w:p>
        </w:tc>
        <w:tc>
          <w:tcPr>
            <w:tcW w:type="dxa" w:w="1587"/>
          </w:tcPr>
          <w:p>
            <w:r>
              <w:rPr>
                <w:sz w:val="20"/>
              </w:rPr>
              <w:t>0.531</w:t>
            </w:r>
          </w:p>
        </w:tc>
        <w:tc>
          <w:tcPr>
            <w:tcW w:type="dxa" w:w="1134"/>
          </w:tcPr>
          <w:p>
            <w:r>
              <w:rPr>
                <w:sz w:val="20"/>
              </w:rPr>
              <w:t>0.329</w:t>
            </w:r>
          </w:p>
        </w:tc>
      </w:tr>
      <w:tr>
        <w:tc>
          <w:tcPr>
            <w:tcW w:type="dxa" w:w="2551"/>
            <w:shd w:val="clear" w:color="auto" w:fill="F2F2F2"/>
          </w:tcPr>
          <w:p>
            <w:r>
              <w:rPr>
                <w:sz w:val="20"/>
              </w:rPr>
              <w:t>Subepithelial deposit cat.</w:t>
            </w:r>
          </w:p>
        </w:tc>
        <w:tc>
          <w:tcPr>
            <w:tcW w:type="dxa" w:w="1247"/>
            <w:shd w:val="clear" w:color="auto" w:fill="F2F2F2"/>
          </w:tcPr>
          <w:p>
            <w:r>
              <w:rPr>
                <w:sz w:val="20"/>
              </w:rPr>
              <w:t>0.455</w:t>
            </w:r>
          </w:p>
        </w:tc>
        <w:tc>
          <w:tcPr>
            <w:tcW w:type="dxa" w:w="1587"/>
            <w:shd w:val="clear" w:color="auto" w:fill="F2F2F2"/>
          </w:tcPr>
          <w:p>
            <w:r>
              <w:rPr>
                <w:sz w:val="20"/>
              </w:rPr>
              <w:t>0.040</w:t>
            </w:r>
          </w:p>
        </w:tc>
        <w:tc>
          <w:tcPr>
            <w:tcW w:type="dxa" w:w="1247"/>
            <w:shd w:val="clear" w:color="auto" w:fill="F2F2F2"/>
          </w:tcPr>
          <w:p>
            <w:r>
              <w:rPr>
                <w:sz w:val="20"/>
              </w:rPr>
              <w:t>0.170</w:t>
            </w:r>
          </w:p>
        </w:tc>
        <w:tc>
          <w:tcPr>
            <w:tcW w:type="dxa" w:w="1587"/>
            <w:shd w:val="clear" w:color="auto" w:fill="F2F2F2"/>
          </w:tcPr>
          <w:p>
            <w:r>
              <w:rPr>
                <w:sz w:val="20"/>
              </w:rPr>
              <w:t>0.336</w:t>
            </w:r>
          </w:p>
        </w:tc>
        <w:tc>
          <w:tcPr>
            <w:tcW w:type="dxa" w:w="1134"/>
            <w:shd w:val="clear" w:color="auto" w:fill="F2F2F2"/>
          </w:tcPr>
          <w:p>
            <w:r>
              <w:rPr>
                <w:sz w:val="20"/>
              </w:rPr>
              <w:t>0.250</w:t>
            </w:r>
          </w:p>
        </w:tc>
      </w:tr>
      <w:tr>
        <w:tc>
          <w:tcPr>
            <w:tcW w:type="dxa" w:w="2551"/>
          </w:tcPr>
          <w:p>
            <w:r>
              <w:rPr>
                <w:sz w:val="20"/>
              </w:rPr>
              <w:t>eGFR (CKD-EPI)</w:t>
            </w:r>
          </w:p>
        </w:tc>
        <w:tc>
          <w:tcPr>
            <w:tcW w:type="dxa" w:w="1247"/>
          </w:tcPr>
          <w:p>
            <w:r>
              <w:rPr>
                <w:sz w:val="20"/>
              </w:rPr>
              <w:t>0.247</w:t>
            </w:r>
          </w:p>
        </w:tc>
        <w:tc>
          <w:tcPr>
            <w:tcW w:type="dxa" w:w="1587"/>
          </w:tcPr>
          <w:p>
            <w:r>
              <w:rPr>
                <w:sz w:val="20"/>
              </w:rPr>
              <w:t>0.070</w:t>
            </w:r>
          </w:p>
        </w:tc>
        <w:tc>
          <w:tcPr>
            <w:tcW w:type="dxa" w:w="1247"/>
          </w:tcPr>
          <w:p>
            <w:r>
              <w:rPr>
                <w:sz w:val="20"/>
              </w:rPr>
              <w:t>0.226</w:t>
            </w:r>
          </w:p>
        </w:tc>
        <w:tc>
          <w:tcPr>
            <w:tcW w:type="dxa" w:w="1587"/>
          </w:tcPr>
          <w:p>
            <w:r>
              <w:rPr>
                <w:sz w:val="20"/>
              </w:rPr>
              <w:t>0.195</w:t>
            </w:r>
          </w:p>
        </w:tc>
        <w:tc>
          <w:tcPr>
            <w:tcW w:type="dxa" w:w="1134"/>
          </w:tcPr>
          <w:p>
            <w:r>
              <w:rPr>
                <w:sz w:val="20"/>
              </w:rPr>
              <w:t>0.184</w:t>
            </w:r>
          </w:p>
        </w:tc>
      </w:tr>
      <w:tr>
        <w:tc>
          <w:tcPr>
            <w:tcW w:type="dxa" w:w="2551"/>
            <w:shd w:val="clear" w:color="auto" w:fill="F2F2F2"/>
          </w:tcPr>
          <w:p>
            <w:r>
              <w:rPr>
                <w:sz w:val="20"/>
              </w:rPr>
              <w:t>% chronic gloms</w:t>
            </w:r>
          </w:p>
        </w:tc>
        <w:tc>
          <w:tcPr>
            <w:tcW w:type="dxa" w:w="1247"/>
            <w:shd w:val="clear" w:color="auto" w:fill="F2F2F2"/>
          </w:tcPr>
          <w:p>
            <w:r>
              <w:rPr>
                <w:sz w:val="20"/>
              </w:rPr>
              <w:t>0.310</w:t>
            </w:r>
          </w:p>
        </w:tc>
        <w:tc>
          <w:tcPr>
            <w:tcW w:type="dxa" w:w="1587"/>
            <w:shd w:val="clear" w:color="auto" w:fill="F2F2F2"/>
          </w:tcPr>
          <w:p>
            <w:r>
              <w:rPr>
                <w:sz w:val="20"/>
              </w:rPr>
              <w:t>0.037</w:t>
            </w:r>
          </w:p>
        </w:tc>
        <w:tc>
          <w:tcPr>
            <w:tcW w:type="dxa" w:w="1247"/>
            <w:shd w:val="clear" w:color="auto" w:fill="F2F2F2"/>
          </w:tcPr>
          <w:p>
            <w:r>
              <w:rPr>
                <w:sz w:val="20"/>
              </w:rPr>
              <w:t>0.143</w:t>
            </w:r>
          </w:p>
        </w:tc>
        <w:tc>
          <w:tcPr>
            <w:tcW w:type="dxa" w:w="1587"/>
            <w:shd w:val="clear" w:color="auto" w:fill="F2F2F2"/>
          </w:tcPr>
          <w:p>
            <w:r>
              <w:rPr>
                <w:sz w:val="20"/>
              </w:rPr>
              <w:t>0.205</w:t>
            </w:r>
          </w:p>
        </w:tc>
        <w:tc>
          <w:tcPr>
            <w:tcW w:type="dxa" w:w="1134"/>
            <w:shd w:val="clear" w:color="auto" w:fill="F2F2F2"/>
          </w:tcPr>
          <w:p>
            <w:r>
              <w:rPr>
                <w:sz w:val="20"/>
              </w:rPr>
              <w:t>0.174</w:t>
            </w:r>
          </w:p>
        </w:tc>
      </w:tr>
      <w:tr>
        <w:tc>
          <w:tcPr>
            <w:tcW w:type="dxa" w:w="2551"/>
          </w:tcPr>
          <w:p>
            <w:r>
              <w:rPr>
                <w:sz w:val="20"/>
              </w:rPr>
              <w:t>%IFTA</w:t>
            </w:r>
          </w:p>
        </w:tc>
        <w:tc>
          <w:tcPr>
            <w:tcW w:type="dxa" w:w="1247"/>
          </w:tcPr>
          <w:p>
            <w:r>
              <w:rPr>
                <w:sz w:val="20"/>
              </w:rPr>
              <w:t>0.250</w:t>
            </w:r>
          </w:p>
        </w:tc>
        <w:tc>
          <w:tcPr>
            <w:tcW w:type="dxa" w:w="1587"/>
          </w:tcPr>
          <w:p>
            <w:r>
              <w:rPr>
                <w:sz w:val="20"/>
              </w:rPr>
              <w:t>0.042</w:t>
            </w:r>
          </w:p>
        </w:tc>
        <w:tc>
          <w:tcPr>
            <w:tcW w:type="dxa" w:w="1247"/>
          </w:tcPr>
          <w:p>
            <w:r>
              <w:rPr>
                <w:sz w:val="20"/>
              </w:rPr>
              <w:t>0.162</w:t>
            </w:r>
          </w:p>
        </w:tc>
        <w:tc>
          <w:tcPr>
            <w:tcW w:type="dxa" w:w="1587"/>
          </w:tcPr>
          <w:p>
            <w:r>
              <w:rPr>
                <w:sz w:val="20"/>
              </w:rPr>
              <w:t>0.108</w:t>
            </w:r>
          </w:p>
        </w:tc>
        <w:tc>
          <w:tcPr>
            <w:tcW w:type="dxa" w:w="1134"/>
          </w:tcPr>
          <w:p>
            <w:r>
              <w:rPr>
                <w:sz w:val="20"/>
              </w:rPr>
              <w:t>0.141</w:t>
            </w:r>
          </w:p>
        </w:tc>
      </w:tr>
    </w:tbl>
    <w:p/>
    <w:p>
      <w:pPr>
        <w:spacing w:after="120"/>
      </w:pPr>
      <w:r>
        <w:t>Creatinine at biopsy was the dominant predictor for ESRD 5-year (mean |SHAP| = 0.329), with subepithelial deposit category (a marker of immune complex deposition pattern on electron microscopy) second (0.250). eGFR, % chronic gloms, and %IFTA were broadly similar in importance. With only 5 features, the model is compact and all features contribute meaningfully. This contrasts with the flare prediction SHAP results where histopathological activity markers dominated — in ESRD, chronic damage and renal function markers lead.</w:t>
      </w:r>
    </w:p>
    <w:p>
      <w:pPr>
        <w:spacing w:after="120"/>
      </w:pPr>
      <w:r>
        <w:t>ESRD 10-Year — Mean absolute SHAP values per feature per model (top 10 shown, sorted by cross-model mean):</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551"/>
            <w:shd w:val="clear" w:color="auto" w:fill="BDD7EE"/>
          </w:tcPr>
          <w:p>
            <w:r>
              <w:rPr>
                <w:b/>
                <w:sz w:val="20"/>
              </w:rPr>
              <w:t>Feature</w:t>
            </w:r>
          </w:p>
        </w:tc>
        <w:tc>
          <w:tcPr>
            <w:tcW w:type="dxa" w:w="1247"/>
            <w:shd w:val="clear" w:color="auto" w:fill="BDD7EE"/>
          </w:tcPr>
          <w:p>
            <w:r>
              <w:rPr>
                <w:b/>
                <w:sz w:val="20"/>
              </w:rPr>
              <w:t>Log Reg</w:t>
            </w:r>
          </w:p>
        </w:tc>
        <w:tc>
          <w:tcPr>
            <w:tcW w:type="dxa" w:w="1587"/>
            <w:shd w:val="clear" w:color="auto" w:fill="BDD7EE"/>
          </w:tcPr>
          <w:p>
            <w:r>
              <w:rPr>
                <w:b/>
                <w:sz w:val="20"/>
              </w:rPr>
              <w:t>Rand Forest</w:t>
            </w:r>
          </w:p>
        </w:tc>
        <w:tc>
          <w:tcPr>
            <w:tcW w:type="dxa" w:w="1247"/>
            <w:shd w:val="clear" w:color="auto" w:fill="BDD7EE"/>
          </w:tcPr>
          <w:p>
            <w:r>
              <w:rPr>
                <w:b/>
                <w:sz w:val="20"/>
              </w:rPr>
              <w:t>XGBoost</w:t>
            </w:r>
          </w:p>
        </w:tc>
        <w:tc>
          <w:tcPr>
            <w:tcW w:type="dxa" w:w="1587"/>
            <w:shd w:val="clear" w:color="auto" w:fill="BDD7EE"/>
          </w:tcPr>
          <w:p>
            <w:r>
              <w:rPr>
                <w:b/>
                <w:sz w:val="20"/>
              </w:rPr>
              <w:t>LightGBM</w:t>
            </w:r>
          </w:p>
        </w:tc>
        <w:tc>
          <w:tcPr>
            <w:tcW w:type="dxa" w:w="1134"/>
            <w:shd w:val="clear" w:color="auto" w:fill="BDD7EE"/>
          </w:tcPr>
          <w:p>
            <w:r>
              <w:rPr>
                <w:b/>
                <w:sz w:val="20"/>
              </w:rPr>
              <w:t>Mean</w:t>
            </w:r>
          </w:p>
        </w:tc>
      </w:tr>
      <w:tr>
        <w:tc>
          <w:tcPr>
            <w:tcW w:type="dxa" w:w="2551"/>
          </w:tcPr>
          <w:p>
            <w:r>
              <w:rPr>
                <w:sz w:val="20"/>
              </w:rPr>
              <w:t>Creatinine at biopsy</w:t>
            </w:r>
          </w:p>
        </w:tc>
        <w:tc>
          <w:tcPr>
            <w:tcW w:type="dxa" w:w="1247"/>
          </w:tcPr>
          <w:p>
            <w:r>
              <w:rPr>
                <w:sz w:val="20"/>
              </w:rPr>
              <w:t>0.192</w:t>
            </w:r>
          </w:p>
        </w:tc>
        <w:tc>
          <w:tcPr>
            <w:tcW w:type="dxa" w:w="1587"/>
          </w:tcPr>
          <w:p>
            <w:r>
              <w:rPr>
                <w:sz w:val="20"/>
              </w:rPr>
              <w:t>0.096</w:t>
            </w:r>
          </w:p>
        </w:tc>
        <w:tc>
          <w:tcPr>
            <w:tcW w:type="dxa" w:w="1247"/>
          </w:tcPr>
          <w:p>
            <w:r>
              <w:rPr>
                <w:sz w:val="20"/>
              </w:rPr>
              <w:t>0.511</w:t>
            </w:r>
          </w:p>
        </w:tc>
        <w:tc>
          <w:tcPr>
            <w:tcW w:type="dxa" w:w="1587"/>
          </w:tcPr>
          <w:p>
            <w:r>
              <w:rPr>
                <w:sz w:val="20"/>
              </w:rPr>
              <w:t>0.688</w:t>
            </w:r>
          </w:p>
        </w:tc>
        <w:tc>
          <w:tcPr>
            <w:tcW w:type="dxa" w:w="1134"/>
          </w:tcPr>
          <w:p>
            <w:r>
              <w:rPr>
                <w:sz w:val="20"/>
              </w:rPr>
              <w:t>0.372</w:t>
            </w:r>
          </w:p>
        </w:tc>
      </w:tr>
      <w:tr>
        <w:tc>
          <w:tcPr>
            <w:tcW w:type="dxa" w:w="2551"/>
            <w:shd w:val="clear" w:color="auto" w:fill="F2F2F2"/>
          </w:tcPr>
          <w:p>
            <w:r>
              <w:rPr>
                <w:sz w:val="20"/>
              </w:rPr>
              <w:t>%IFTA</w:t>
            </w:r>
          </w:p>
        </w:tc>
        <w:tc>
          <w:tcPr>
            <w:tcW w:type="dxa" w:w="1247"/>
            <w:shd w:val="clear" w:color="auto" w:fill="F2F2F2"/>
          </w:tcPr>
          <w:p>
            <w:r>
              <w:rPr>
                <w:sz w:val="20"/>
              </w:rPr>
              <w:t>0.363</w:t>
            </w:r>
          </w:p>
        </w:tc>
        <w:tc>
          <w:tcPr>
            <w:tcW w:type="dxa" w:w="1587"/>
            <w:shd w:val="clear" w:color="auto" w:fill="F2F2F2"/>
          </w:tcPr>
          <w:p>
            <w:r>
              <w:rPr>
                <w:sz w:val="20"/>
              </w:rPr>
              <w:t>0.056</w:t>
            </w:r>
          </w:p>
        </w:tc>
        <w:tc>
          <w:tcPr>
            <w:tcW w:type="dxa" w:w="1247"/>
            <w:shd w:val="clear" w:color="auto" w:fill="F2F2F2"/>
          </w:tcPr>
          <w:p>
            <w:r>
              <w:rPr>
                <w:sz w:val="20"/>
              </w:rPr>
              <w:t>0.313</w:t>
            </w:r>
          </w:p>
        </w:tc>
        <w:tc>
          <w:tcPr>
            <w:tcW w:type="dxa" w:w="1587"/>
            <w:shd w:val="clear" w:color="auto" w:fill="F2F2F2"/>
          </w:tcPr>
          <w:p>
            <w:r>
              <w:rPr>
                <w:sz w:val="20"/>
              </w:rPr>
              <w:t>0.290</w:t>
            </w:r>
          </w:p>
        </w:tc>
        <w:tc>
          <w:tcPr>
            <w:tcW w:type="dxa" w:w="1134"/>
            <w:shd w:val="clear" w:color="auto" w:fill="F2F2F2"/>
          </w:tcPr>
          <w:p>
            <w:r>
              <w:rPr>
                <w:sz w:val="20"/>
              </w:rPr>
              <w:t>0.255</w:t>
            </w:r>
          </w:p>
        </w:tc>
      </w:tr>
      <w:tr>
        <w:tc>
          <w:tcPr>
            <w:tcW w:type="dxa" w:w="2551"/>
          </w:tcPr>
          <w:p>
            <w:r>
              <w:rPr>
                <w:sz w:val="20"/>
              </w:rPr>
              <w:t>Age at biopsy</w:t>
            </w:r>
          </w:p>
        </w:tc>
        <w:tc>
          <w:tcPr>
            <w:tcW w:type="dxa" w:w="1247"/>
          </w:tcPr>
          <w:p>
            <w:r>
              <w:rPr>
                <w:sz w:val="20"/>
              </w:rPr>
              <w:t>0.194</w:t>
            </w:r>
          </w:p>
        </w:tc>
        <w:tc>
          <w:tcPr>
            <w:tcW w:type="dxa" w:w="1587"/>
          </w:tcPr>
          <w:p>
            <w:r>
              <w:rPr>
                <w:sz w:val="20"/>
              </w:rPr>
              <w:t>0.026</w:t>
            </w:r>
          </w:p>
        </w:tc>
        <w:tc>
          <w:tcPr>
            <w:tcW w:type="dxa" w:w="1247"/>
          </w:tcPr>
          <w:p>
            <w:r>
              <w:rPr>
                <w:sz w:val="20"/>
              </w:rPr>
              <w:t>0.331</w:t>
            </w:r>
          </w:p>
        </w:tc>
        <w:tc>
          <w:tcPr>
            <w:tcW w:type="dxa" w:w="1587"/>
          </w:tcPr>
          <w:p>
            <w:r>
              <w:rPr>
                <w:sz w:val="20"/>
              </w:rPr>
              <w:t>0.464</w:t>
            </w:r>
          </w:p>
        </w:tc>
        <w:tc>
          <w:tcPr>
            <w:tcW w:type="dxa" w:w="1134"/>
          </w:tcPr>
          <w:p>
            <w:r>
              <w:rPr>
                <w:sz w:val="20"/>
              </w:rPr>
              <w:t>0.254</w:t>
            </w:r>
          </w:p>
        </w:tc>
      </w:tr>
      <w:tr>
        <w:tc>
          <w:tcPr>
            <w:tcW w:type="dxa" w:w="2551"/>
            <w:shd w:val="clear" w:color="auto" w:fill="F2F2F2"/>
          </w:tcPr>
          <w:p>
            <w:r>
              <w:rPr>
                <w:sz w:val="20"/>
              </w:rPr>
              <w:t>% chronic gloms</w:t>
            </w:r>
          </w:p>
        </w:tc>
        <w:tc>
          <w:tcPr>
            <w:tcW w:type="dxa" w:w="1247"/>
            <w:shd w:val="clear" w:color="auto" w:fill="F2F2F2"/>
          </w:tcPr>
          <w:p>
            <w:r>
              <w:rPr>
                <w:sz w:val="20"/>
              </w:rPr>
              <w:t>0.391</w:t>
            </w:r>
          </w:p>
        </w:tc>
        <w:tc>
          <w:tcPr>
            <w:tcW w:type="dxa" w:w="1587"/>
            <w:shd w:val="clear" w:color="auto" w:fill="F2F2F2"/>
          </w:tcPr>
          <w:p>
            <w:r>
              <w:rPr>
                <w:sz w:val="20"/>
              </w:rPr>
              <w:t>0.043</w:t>
            </w:r>
          </w:p>
        </w:tc>
        <w:tc>
          <w:tcPr>
            <w:tcW w:type="dxa" w:w="1247"/>
            <w:shd w:val="clear" w:color="auto" w:fill="F2F2F2"/>
          </w:tcPr>
          <w:p>
            <w:r>
              <w:rPr>
                <w:sz w:val="20"/>
              </w:rPr>
              <w:t>0.255</w:t>
            </w:r>
          </w:p>
        </w:tc>
        <w:tc>
          <w:tcPr>
            <w:tcW w:type="dxa" w:w="1587"/>
            <w:shd w:val="clear" w:color="auto" w:fill="F2F2F2"/>
          </w:tcPr>
          <w:p>
            <w:r>
              <w:rPr>
                <w:sz w:val="20"/>
              </w:rPr>
              <w:t>0.296</w:t>
            </w:r>
          </w:p>
        </w:tc>
        <w:tc>
          <w:tcPr>
            <w:tcW w:type="dxa" w:w="1134"/>
            <w:shd w:val="clear" w:color="auto" w:fill="F2F2F2"/>
          </w:tcPr>
          <w:p>
            <w:r>
              <w:rPr>
                <w:sz w:val="20"/>
              </w:rPr>
              <w:t>0.246</w:t>
            </w:r>
          </w:p>
        </w:tc>
      </w:tr>
      <w:tr>
        <w:tc>
          <w:tcPr>
            <w:tcW w:type="dxa" w:w="2551"/>
          </w:tcPr>
          <w:p>
            <w:r>
              <w:rPr>
                <w:sz w:val="20"/>
              </w:rPr>
              <w:t>eGFR (CKD-EPI)</w:t>
            </w:r>
          </w:p>
        </w:tc>
        <w:tc>
          <w:tcPr>
            <w:tcW w:type="dxa" w:w="1247"/>
          </w:tcPr>
          <w:p>
            <w:r>
              <w:rPr>
                <w:sz w:val="20"/>
              </w:rPr>
              <w:t>0.322</w:t>
            </w:r>
          </w:p>
        </w:tc>
        <w:tc>
          <w:tcPr>
            <w:tcW w:type="dxa" w:w="1587"/>
          </w:tcPr>
          <w:p>
            <w:r>
              <w:rPr>
                <w:sz w:val="20"/>
              </w:rPr>
              <w:t>0.053</w:t>
            </w:r>
          </w:p>
        </w:tc>
        <w:tc>
          <w:tcPr>
            <w:tcW w:type="dxa" w:w="1247"/>
          </w:tcPr>
          <w:p>
            <w:r>
              <w:rPr>
                <w:sz w:val="20"/>
              </w:rPr>
              <w:t>0.242</w:t>
            </w:r>
          </w:p>
        </w:tc>
        <w:tc>
          <w:tcPr>
            <w:tcW w:type="dxa" w:w="1587"/>
          </w:tcPr>
          <w:p>
            <w:r>
              <w:rPr>
                <w:sz w:val="20"/>
              </w:rPr>
              <w:t>0.278</w:t>
            </w:r>
          </w:p>
        </w:tc>
        <w:tc>
          <w:tcPr>
            <w:tcW w:type="dxa" w:w="1134"/>
          </w:tcPr>
          <w:p>
            <w:r>
              <w:rPr>
                <w:sz w:val="20"/>
              </w:rPr>
              <w:t>0.224</w:t>
            </w:r>
          </w:p>
        </w:tc>
      </w:tr>
      <w:tr>
        <w:tc>
          <w:tcPr>
            <w:tcW w:type="dxa" w:w="2551"/>
            <w:shd w:val="clear" w:color="auto" w:fill="F2F2F2"/>
          </w:tcPr>
          <w:p>
            <w:r>
              <w:rPr>
                <w:sz w:val="20"/>
              </w:rPr>
              <w:t>C3 at biopsy</w:t>
            </w:r>
          </w:p>
        </w:tc>
        <w:tc>
          <w:tcPr>
            <w:tcW w:type="dxa" w:w="1247"/>
            <w:shd w:val="clear" w:color="auto" w:fill="F2F2F2"/>
          </w:tcPr>
          <w:p>
            <w:r>
              <w:rPr>
                <w:sz w:val="20"/>
              </w:rPr>
              <w:t>0.333</w:t>
            </w:r>
          </w:p>
        </w:tc>
        <w:tc>
          <w:tcPr>
            <w:tcW w:type="dxa" w:w="1587"/>
            <w:shd w:val="clear" w:color="auto" w:fill="F2F2F2"/>
          </w:tcPr>
          <w:p>
            <w:r>
              <w:rPr>
                <w:sz w:val="20"/>
              </w:rPr>
              <w:t>0.019</w:t>
            </w:r>
          </w:p>
        </w:tc>
        <w:tc>
          <w:tcPr>
            <w:tcW w:type="dxa" w:w="1247"/>
            <w:shd w:val="clear" w:color="auto" w:fill="F2F2F2"/>
          </w:tcPr>
          <w:p>
            <w:r>
              <w:rPr>
                <w:sz w:val="20"/>
              </w:rPr>
              <w:t>0.207</w:t>
            </w:r>
          </w:p>
        </w:tc>
        <w:tc>
          <w:tcPr>
            <w:tcW w:type="dxa" w:w="1587"/>
            <w:shd w:val="clear" w:color="auto" w:fill="F2F2F2"/>
          </w:tcPr>
          <w:p>
            <w:r>
              <w:rPr>
                <w:sz w:val="20"/>
              </w:rPr>
              <w:t>0.286</w:t>
            </w:r>
          </w:p>
        </w:tc>
        <w:tc>
          <w:tcPr>
            <w:tcW w:type="dxa" w:w="1134"/>
            <w:shd w:val="clear" w:color="auto" w:fill="F2F2F2"/>
          </w:tcPr>
          <w:p>
            <w:r>
              <w:rPr>
                <w:sz w:val="20"/>
              </w:rPr>
              <w:t>0.211</w:t>
            </w:r>
          </w:p>
        </w:tc>
      </w:tr>
      <w:tr>
        <w:tc>
          <w:tcPr>
            <w:tcW w:type="dxa" w:w="2551"/>
          </w:tcPr>
          <w:p>
            <w:r>
              <w:rPr>
                <w:sz w:val="20"/>
              </w:rPr>
              <w:t>C4 low</w:t>
            </w:r>
          </w:p>
        </w:tc>
        <w:tc>
          <w:tcPr>
            <w:tcW w:type="dxa" w:w="1247"/>
          </w:tcPr>
          <w:p>
            <w:r>
              <w:rPr>
                <w:sz w:val="20"/>
              </w:rPr>
              <w:t>0.380</w:t>
            </w:r>
          </w:p>
        </w:tc>
        <w:tc>
          <w:tcPr>
            <w:tcW w:type="dxa" w:w="1587"/>
          </w:tcPr>
          <w:p>
            <w:r>
              <w:rPr>
                <w:sz w:val="20"/>
              </w:rPr>
              <w:t>0.014</w:t>
            </w:r>
          </w:p>
        </w:tc>
        <w:tc>
          <w:tcPr>
            <w:tcW w:type="dxa" w:w="1247"/>
          </w:tcPr>
          <w:p>
            <w:r>
              <w:rPr>
                <w:sz w:val="20"/>
              </w:rPr>
              <w:t>0.227</w:t>
            </w:r>
          </w:p>
        </w:tc>
        <w:tc>
          <w:tcPr>
            <w:tcW w:type="dxa" w:w="1587"/>
          </w:tcPr>
          <w:p>
            <w:r>
              <w:rPr>
                <w:sz w:val="20"/>
              </w:rPr>
              <w:t>0.222</w:t>
            </w:r>
          </w:p>
        </w:tc>
        <w:tc>
          <w:tcPr>
            <w:tcW w:type="dxa" w:w="1134"/>
          </w:tcPr>
          <w:p>
            <w:r>
              <w:rPr>
                <w:sz w:val="20"/>
              </w:rPr>
              <w:t>0.211</w:t>
            </w:r>
          </w:p>
        </w:tc>
      </w:tr>
      <w:tr>
        <w:tc>
          <w:tcPr>
            <w:tcW w:type="dxa" w:w="2551"/>
            <w:shd w:val="clear" w:color="auto" w:fill="F2F2F2"/>
          </w:tcPr>
          <w:p>
            <w:r>
              <w:rPr>
                <w:sz w:val="20"/>
              </w:rPr>
              <w:t>Crescents (Yes/No)</w:t>
            </w:r>
          </w:p>
        </w:tc>
        <w:tc>
          <w:tcPr>
            <w:tcW w:type="dxa" w:w="1247"/>
            <w:shd w:val="clear" w:color="auto" w:fill="F2F2F2"/>
          </w:tcPr>
          <w:p>
            <w:r>
              <w:rPr>
                <w:sz w:val="20"/>
              </w:rPr>
              <w:t>0.247</w:t>
            </w:r>
          </w:p>
        </w:tc>
        <w:tc>
          <w:tcPr>
            <w:tcW w:type="dxa" w:w="1587"/>
            <w:shd w:val="clear" w:color="auto" w:fill="F2F2F2"/>
          </w:tcPr>
          <w:p>
            <w:r>
              <w:rPr>
                <w:sz w:val="20"/>
              </w:rPr>
              <w:t>0.017</w:t>
            </w:r>
          </w:p>
        </w:tc>
        <w:tc>
          <w:tcPr>
            <w:tcW w:type="dxa" w:w="1247"/>
            <w:shd w:val="clear" w:color="auto" w:fill="F2F2F2"/>
          </w:tcPr>
          <w:p>
            <w:r>
              <w:rPr>
                <w:sz w:val="20"/>
              </w:rPr>
              <w:t>0.182</w:t>
            </w:r>
          </w:p>
        </w:tc>
        <w:tc>
          <w:tcPr>
            <w:tcW w:type="dxa" w:w="1587"/>
            <w:shd w:val="clear" w:color="auto" w:fill="F2F2F2"/>
          </w:tcPr>
          <w:p>
            <w:r>
              <w:rPr>
                <w:sz w:val="20"/>
              </w:rPr>
              <w:t>0.196</w:t>
            </w:r>
          </w:p>
        </w:tc>
        <w:tc>
          <w:tcPr>
            <w:tcW w:type="dxa" w:w="1134"/>
            <w:shd w:val="clear" w:color="auto" w:fill="F2F2F2"/>
          </w:tcPr>
          <w:p>
            <w:r>
              <w:rPr>
                <w:sz w:val="20"/>
              </w:rPr>
              <w:t>0.160</w:t>
            </w:r>
          </w:p>
        </w:tc>
      </w:tr>
      <w:tr>
        <w:tc>
          <w:tcPr>
            <w:tcW w:type="dxa" w:w="2551"/>
          </w:tcPr>
          <w:p>
            <w:r>
              <w:rPr>
                <w:sz w:val="20"/>
              </w:rPr>
              <w:t>Prior cyclophosphamide</w:t>
            </w:r>
          </w:p>
        </w:tc>
        <w:tc>
          <w:tcPr>
            <w:tcW w:type="dxa" w:w="1247"/>
          </w:tcPr>
          <w:p>
            <w:r>
              <w:rPr>
                <w:sz w:val="20"/>
              </w:rPr>
              <w:t>0.173</w:t>
            </w:r>
          </w:p>
        </w:tc>
        <w:tc>
          <w:tcPr>
            <w:tcW w:type="dxa" w:w="1587"/>
          </w:tcPr>
          <w:p>
            <w:r>
              <w:rPr>
                <w:sz w:val="20"/>
              </w:rPr>
              <w:t>0.012</w:t>
            </w:r>
          </w:p>
        </w:tc>
        <w:tc>
          <w:tcPr>
            <w:tcW w:type="dxa" w:w="1247"/>
          </w:tcPr>
          <w:p>
            <w:r>
              <w:rPr>
                <w:sz w:val="20"/>
              </w:rPr>
              <w:t>0.174</w:t>
            </w:r>
          </w:p>
        </w:tc>
        <w:tc>
          <w:tcPr>
            <w:tcW w:type="dxa" w:w="1587"/>
          </w:tcPr>
          <w:p>
            <w:r>
              <w:rPr>
                <w:sz w:val="20"/>
              </w:rPr>
              <w:t>0.278</w:t>
            </w:r>
          </w:p>
        </w:tc>
        <w:tc>
          <w:tcPr>
            <w:tcW w:type="dxa" w:w="1134"/>
          </w:tcPr>
          <w:p>
            <w:r>
              <w:rPr>
                <w:sz w:val="20"/>
              </w:rPr>
              <w:t>0.159</w:t>
            </w:r>
          </w:p>
        </w:tc>
      </w:tr>
      <w:tr>
        <w:tc>
          <w:tcPr>
            <w:tcW w:type="dxa" w:w="2551"/>
            <w:shd w:val="clear" w:color="auto" w:fill="F2F2F2"/>
          </w:tcPr>
          <w:p>
            <w:r>
              <w:rPr>
                <w:sz w:val="20"/>
              </w:rPr>
              <w:t>Cap wall IgM</w:t>
            </w:r>
          </w:p>
        </w:tc>
        <w:tc>
          <w:tcPr>
            <w:tcW w:type="dxa" w:w="1247"/>
            <w:shd w:val="clear" w:color="auto" w:fill="F2F2F2"/>
          </w:tcPr>
          <w:p>
            <w:r>
              <w:rPr>
                <w:sz w:val="20"/>
              </w:rPr>
              <w:t>0.190</w:t>
            </w:r>
          </w:p>
        </w:tc>
        <w:tc>
          <w:tcPr>
            <w:tcW w:type="dxa" w:w="1587"/>
            <w:shd w:val="clear" w:color="auto" w:fill="F2F2F2"/>
          </w:tcPr>
          <w:p>
            <w:r>
              <w:rPr>
                <w:sz w:val="20"/>
              </w:rPr>
              <w:t>0.013</w:t>
            </w:r>
          </w:p>
        </w:tc>
        <w:tc>
          <w:tcPr>
            <w:tcW w:type="dxa" w:w="1247"/>
            <w:shd w:val="clear" w:color="auto" w:fill="F2F2F2"/>
          </w:tcPr>
          <w:p>
            <w:r>
              <w:rPr>
                <w:sz w:val="20"/>
              </w:rPr>
              <w:t>0.173</w:t>
            </w:r>
          </w:p>
        </w:tc>
        <w:tc>
          <w:tcPr>
            <w:tcW w:type="dxa" w:w="1587"/>
            <w:shd w:val="clear" w:color="auto" w:fill="F2F2F2"/>
          </w:tcPr>
          <w:p>
            <w:r>
              <w:rPr>
                <w:sz w:val="20"/>
              </w:rPr>
              <w:t>0.201</w:t>
            </w:r>
          </w:p>
        </w:tc>
        <w:tc>
          <w:tcPr>
            <w:tcW w:type="dxa" w:w="1134"/>
            <w:shd w:val="clear" w:color="auto" w:fill="F2F2F2"/>
          </w:tcPr>
          <w:p>
            <w:r>
              <w:rPr>
                <w:sz w:val="20"/>
              </w:rPr>
              <w:t>0.144</w:t>
            </w:r>
          </w:p>
        </w:tc>
      </w:tr>
    </w:tbl>
    <w:p/>
    <w:p>
      <w:pPr>
        <w:spacing w:after="120"/>
      </w:pPr>
      <w:r>
        <w:t>Creatinine at biopsy was the top predictor at 10 years (mean |SHAP| = 0.372, driven strongly by XGBoost and LightGBM). %IFTA, age at biopsy, and % chronic gloms were broadly similar (0.246–0.255). Complement markers (C3, C4 low) featured prominently, reflecting the immunological component of longer-term ESRD risk beyond chronic damage alone. SHAP comparisons between 5-year and 10-year ESRD horizons are visualised in outputs/esrd/figures/esrd_shap_5yr_vs_10yr.png.</w:t>
      </w:r>
    </w:p>
    <w:p>
      <w:pPr>
        <w:pStyle w:val="Heading1"/>
        <w:spacing w:before="280" w:after="80"/>
      </w:pPr>
      <w:r>
        <w:t>10. TabPFN v3 Benchmark</w:t>
      </w:r>
    </w:p>
    <w:p>
      <w:pPr>
        <w:pStyle w:val="Heading2"/>
        <w:spacing w:before="160" w:after="80"/>
      </w:pPr>
      <w:r>
        <w:t>10.1 Method  (src/16_tabpfn_v3_benchmark.py)</w:t>
      </w:r>
    </w:p>
    <w:p>
      <w:pPr>
        <w:spacing w:after="120"/>
      </w:pPr>
      <w:r>
        <w:t>TabPFN (Hollmann et al., 2022) is a prior-data fitted network — a transformer pre-trained on synthetic tabular datasets, performing in-context learning at inference time without dataset-specific fitting. TabPFN v3 (Prior Labs) is accessed via the hosted client API (tabpfn_client.TabPFNClassifier, package tabpfn_client==0.3.1), authenticated with an API token (TABPFN_TOKEN environment variable) rather than run locally.</w:t>
      </w:r>
    </w:p>
    <w:p>
      <w:pPr>
        <w:spacing w:after="120"/>
      </w:pPr>
      <w:r>
        <w:t>TabPFN v3 was benchmarked on all four datasets — 1-year flare, 5-year flare, ESRD 5-year, ESRD 10-year — using the same 5×10-fold repeated stratified CV protocol as the four main classifiers, so results are directly comparable. Harrell optimism-corrected bootstrap was not performed for TabPFN v3: each bootstrap iteration requires a new API call, making 1,000 iterations computationally and financially impractical against a hosted service. CV results only are reported. To tolerate the hosted API's occasional dropped connections, the script retries each fold up to 5 times (15s backoff) and checkpoints completed folds to outputs/tabpfn_v3_checkpoint.pkl so an interrupted run can resume without repeating work.</w:t>
      </w:r>
    </w:p>
    <w:p>
      <w:pPr>
        <w:pStyle w:val="Heading2"/>
        <w:spacing w:before="160" w:after="80"/>
      </w:pPr>
      <w:r>
        <w:t>10.2 Results</w:t>
      </w:r>
    </w:p>
    <w:p>
      <w:pPr>
        <w:spacing w:after="120"/>
      </w:pPr>
      <w:r>
        <w:t>1-Year Flare — comparison with existing models (5×10-fold CV):</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0.708</w:t>
            </w:r>
          </w:p>
        </w:tc>
        <w:tc>
          <w:tcPr>
            <w:tcW w:type="dxa" w:w="1984"/>
          </w:tcPr>
          <w:p>
            <w:r>
              <w:rPr>
                <w:sz w:val="20"/>
              </w:rPr>
              <w:t>0.553–0.858</w:t>
            </w:r>
          </w:p>
        </w:tc>
        <w:tc>
          <w:tcPr>
            <w:tcW w:type="dxa" w:w="1417"/>
          </w:tcPr>
          <w:p>
            <w:r>
              <w:rPr>
                <w:sz w:val="20"/>
              </w:rPr>
              <w:t>0.220</w:t>
            </w:r>
          </w:p>
        </w:tc>
        <w:tc>
          <w:tcPr>
            <w:tcW w:type="dxa" w:w="1701"/>
          </w:tcPr>
          <w:p>
            <w:r>
              <w:rPr>
                <w:sz w:val="20"/>
              </w:rPr>
              <w:t>0.719</w:t>
            </w:r>
          </w:p>
        </w:tc>
      </w:tr>
      <w:tr>
        <w:tc>
          <w:tcPr>
            <w:tcW w:type="dxa" w:w="2551"/>
            <w:shd w:val="clear" w:color="auto" w:fill="F2F2F2"/>
          </w:tcPr>
          <w:p>
            <w:r>
              <w:rPr>
                <w:sz w:val="20"/>
              </w:rPr>
              <w:t>Random Forest</w:t>
            </w:r>
          </w:p>
        </w:tc>
        <w:tc>
          <w:tcPr>
            <w:tcW w:type="dxa" w:w="1701"/>
            <w:shd w:val="clear" w:color="auto" w:fill="F2F2F2"/>
          </w:tcPr>
          <w:p>
            <w:r>
              <w:rPr>
                <w:sz w:val="20"/>
              </w:rPr>
              <w:t>0.690</w:t>
            </w:r>
          </w:p>
        </w:tc>
        <w:tc>
          <w:tcPr>
            <w:tcW w:type="dxa" w:w="1984"/>
            <w:shd w:val="clear" w:color="auto" w:fill="F2F2F2"/>
          </w:tcPr>
          <w:p>
            <w:r>
              <w:rPr>
                <w:sz w:val="20"/>
              </w:rPr>
              <w:t>0.549–0.834</w:t>
            </w:r>
          </w:p>
        </w:tc>
        <w:tc>
          <w:tcPr>
            <w:tcW w:type="dxa" w:w="1417"/>
            <w:shd w:val="clear" w:color="auto" w:fill="F2F2F2"/>
          </w:tcPr>
          <w:p>
            <w:r>
              <w:rPr>
                <w:sz w:val="20"/>
              </w:rPr>
              <w:t>0.211</w:t>
            </w:r>
          </w:p>
        </w:tc>
        <w:tc>
          <w:tcPr>
            <w:tcW w:type="dxa" w:w="1701"/>
            <w:shd w:val="clear" w:color="auto" w:fill="F2F2F2"/>
          </w:tcPr>
          <w:p>
            <w:r>
              <w:rPr>
                <w:sz w:val="20"/>
              </w:rPr>
              <w:t>0.849</w:t>
            </w:r>
          </w:p>
        </w:tc>
      </w:tr>
      <w:tr>
        <w:tc>
          <w:tcPr>
            <w:tcW w:type="dxa" w:w="2551"/>
          </w:tcPr>
          <w:p>
            <w:r>
              <w:rPr>
                <w:sz w:val="20"/>
              </w:rPr>
              <w:t>XGBoost</w:t>
            </w:r>
          </w:p>
        </w:tc>
        <w:tc>
          <w:tcPr>
            <w:tcW w:type="dxa" w:w="1701"/>
          </w:tcPr>
          <w:p>
            <w:r>
              <w:rPr>
                <w:sz w:val="20"/>
              </w:rPr>
              <w:t>0.674</w:t>
            </w:r>
          </w:p>
        </w:tc>
        <w:tc>
          <w:tcPr>
            <w:tcW w:type="dxa" w:w="1984"/>
          </w:tcPr>
          <w:p>
            <w:r>
              <w:rPr>
                <w:sz w:val="20"/>
              </w:rPr>
              <w:t>0.544–0.837</w:t>
            </w:r>
          </w:p>
        </w:tc>
        <w:tc>
          <w:tcPr>
            <w:tcW w:type="dxa" w:w="1417"/>
          </w:tcPr>
          <w:p>
            <w:r>
              <w:rPr>
                <w:sz w:val="20"/>
              </w:rPr>
              <w:t>0.224</w:t>
            </w:r>
          </w:p>
        </w:tc>
        <w:tc>
          <w:tcPr>
            <w:tcW w:type="dxa" w:w="1701"/>
          </w:tcPr>
          <w:p>
            <w:r>
              <w:rPr>
                <w:sz w:val="20"/>
              </w:rPr>
              <w:t>0.835</w:t>
            </w:r>
          </w:p>
        </w:tc>
      </w:tr>
      <w:tr>
        <w:tc>
          <w:tcPr>
            <w:tcW w:type="dxa" w:w="2551"/>
            <w:shd w:val="clear" w:color="auto" w:fill="F2F2F2"/>
          </w:tcPr>
          <w:p>
            <w:r>
              <w:rPr>
                <w:sz w:val="20"/>
              </w:rPr>
              <w:t>LightGBM</w:t>
            </w:r>
          </w:p>
        </w:tc>
        <w:tc>
          <w:tcPr>
            <w:tcW w:type="dxa" w:w="1701"/>
            <w:shd w:val="clear" w:color="auto" w:fill="F2F2F2"/>
          </w:tcPr>
          <w:p>
            <w:r>
              <w:rPr>
                <w:sz w:val="20"/>
              </w:rPr>
              <w:t>0.659</w:t>
            </w:r>
          </w:p>
        </w:tc>
        <w:tc>
          <w:tcPr>
            <w:tcW w:type="dxa" w:w="1984"/>
            <w:shd w:val="clear" w:color="auto" w:fill="F2F2F2"/>
          </w:tcPr>
          <w:p>
            <w:r>
              <w:rPr>
                <w:sz w:val="20"/>
              </w:rPr>
              <w:t>0.532–0.818</w:t>
            </w:r>
          </w:p>
        </w:tc>
        <w:tc>
          <w:tcPr>
            <w:tcW w:type="dxa" w:w="1417"/>
            <w:shd w:val="clear" w:color="auto" w:fill="F2F2F2"/>
          </w:tcPr>
          <w:p>
            <w:r>
              <w:rPr>
                <w:sz w:val="20"/>
              </w:rPr>
              <w:t>0.224</w:t>
            </w:r>
          </w:p>
        </w:tc>
        <w:tc>
          <w:tcPr>
            <w:tcW w:type="dxa" w:w="1701"/>
            <w:shd w:val="clear" w:color="auto" w:fill="F2F2F2"/>
          </w:tcPr>
          <w:p>
            <w:r>
              <w:rPr>
                <w:sz w:val="20"/>
              </w:rPr>
              <w:t>0.686</w:t>
            </w:r>
          </w:p>
        </w:tc>
      </w:tr>
      <w:tr>
        <w:tc>
          <w:tcPr>
            <w:tcW w:type="dxa" w:w="2551"/>
          </w:tcPr>
          <w:p>
            <w:r>
              <w:rPr>
                <w:sz w:val="20"/>
              </w:rPr>
              <w:t>TabPFN v3</w:t>
            </w:r>
          </w:p>
        </w:tc>
        <w:tc>
          <w:tcPr>
            <w:tcW w:type="dxa" w:w="1701"/>
          </w:tcPr>
          <w:p>
            <w:r>
              <w:rPr>
                <w:sz w:val="20"/>
              </w:rPr>
              <w:t>0.684</w:t>
            </w:r>
          </w:p>
        </w:tc>
        <w:tc>
          <w:tcPr>
            <w:tcW w:type="dxa" w:w="1984"/>
          </w:tcPr>
          <w:p>
            <w:r>
              <w:rPr>
                <w:sz w:val="20"/>
              </w:rPr>
              <w:t>0.567–0.834</w:t>
            </w:r>
          </w:p>
        </w:tc>
        <w:tc>
          <w:tcPr>
            <w:tcW w:type="dxa" w:w="1417"/>
          </w:tcPr>
          <w:p>
            <w:r>
              <w:rPr>
                <w:sz w:val="20"/>
              </w:rPr>
              <w:t>0.166</w:t>
            </w:r>
          </w:p>
        </w:tc>
        <w:tc>
          <w:tcPr>
            <w:tcW w:type="dxa" w:w="1701"/>
          </w:tcPr>
          <w:p>
            <w:r>
              <w:rPr>
                <w:sz w:val="20"/>
              </w:rPr>
              <w:t>0.747</w:t>
            </w:r>
          </w:p>
        </w:tc>
      </w:tr>
    </w:tbl>
    <w:p/>
    <w:p>
      <w:pPr>
        <w:spacing w:after="120"/>
      </w:pPr>
      <w:r>
        <w:t>TabPFN v3 discrimination (AUROC 0.684) fell between the tree models and Logistic Regression, well within all confidence interval overlaps. Its notable advantage was Brier score: 0.166 vs 0.220 for LR and 0.211–0.224 for the tree models — a substantially better-calibrated probability estimate despite no dataset-specific training.</w:t>
      </w:r>
    </w:p>
    <w:p>
      <w:pPr>
        <w:spacing w:after="120"/>
      </w:pPr>
      <w:r>
        <w:t>5-Year Flare — comparison with existing models (5×10-fold CV):</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0.673</w:t>
            </w:r>
          </w:p>
        </w:tc>
        <w:tc>
          <w:tcPr>
            <w:tcW w:type="dxa" w:w="1984"/>
          </w:tcPr>
          <w:p>
            <w:r>
              <w:rPr>
                <w:sz w:val="20"/>
              </w:rPr>
              <w:t>0.536–0.788</w:t>
            </w:r>
          </w:p>
        </w:tc>
        <w:tc>
          <w:tcPr>
            <w:tcW w:type="dxa" w:w="1417"/>
          </w:tcPr>
          <w:p>
            <w:r>
              <w:rPr>
                <w:sz w:val="20"/>
              </w:rPr>
              <w:t>0.232</w:t>
            </w:r>
          </w:p>
        </w:tc>
        <w:tc>
          <w:tcPr>
            <w:tcW w:type="dxa" w:w="1701"/>
          </w:tcPr>
          <w:p>
            <w:r>
              <w:rPr>
                <w:sz w:val="20"/>
              </w:rPr>
              <w:t>0.669</w:t>
            </w:r>
          </w:p>
        </w:tc>
      </w:tr>
      <w:tr>
        <w:tc>
          <w:tcPr>
            <w:tcW w:type="dxa" w:w="2551"/>
            <w:shd w:val="clear" w:color="auto" w:fill="F2F2F2"/>
          </w:tcPr>
          <w:p>
            <w:r>
              <w:rPr>
                <w:sz w:val="20"/>
              </w:rPr>
              <w:t>Random Forest</w:t>
            </w:r>
          </w:p>
        </w:tc>
        <w:tc>
          <w:tcPr>
            <w:tcW w:type="dxa" w:w="1701"/>
            <w:shd w:val="clear" w:color="auto" w:fill="F2F2F2"/>
          </w:tcPr>
          <w:p>
            <w:r>
              <w:rPr>
                <w:sz w:val="20"/>
              </w:rPr>
              <w:t>0.679</w:t>
            </w:r>
          </w:p>
        </w:tc>
        <w:tc>
          <w:tcPr>
            <w:tcW w:type="dxa" w:w="1984"/>
            <w:shd w:val="clear" w:color="auto" w:fill="F2F2F2"/>
          </w:tcPr>
          <w:p>
            <w:r>
              <w:rPr>
                <w:sz w:val="20"/>
              </w:rPr>
              <w:t>0.505–0.809</w:t>
            </w:r>
          </w:p>
        </w:tc>
        <w:tc>
          <w:tcPr>
            <w:tcW w:type="dxa" w:w="1417"/>
            <w:shd w:val="clear" w:color="auto" w:fill="F2F2F2"/>
          </w:tcPr>
          <w:p>
            <w:r>
              <w:rPr>
                <w:sz w:val="20"/>
              </w:rPr>
              <w:t>0.227</w:t>
            </w:r>
          </w:p>
        </w:tc>
        <w:tc>
          <w:tcPr>
            <w:tcW w:type="dxa" w:w="1701"/>
            <w:shd w:val="clear" w:color="auto" w:fill="F2F2F2"/>
          </w:tcPr>
          <w:p>
            <w:r>
              <w:rPr>
                <w:sz w:val="20"/>
              </w:rPr>
              <w:t>0.827</w:t>
            </w:r>
          </w:p>
        </w:tc>
      </w:tr>
      <w:tr>
        <w:tc>
          <w:tcPr>
            <w:tcW w:type="dxa" w:w="2551"/>
          </w:tcPr>
          <w:p>
            <w:r>
              <w:rPr>
                <w:sz w:val="20"/>
              </w:rPr>
              <w:t>XGBoost</w:t>
            </w:r>
          </w:p>
        </w:tc>
        <w:tc>
          <w:tcPr>
            <w:tcW w:type="dxa" w:w="1701"/>
          </w:tcPr>
          <w:p>
            <w:r>
              <w:rPr>
                <w:sz w:val="20"/>
              </w:rPr>
              <w:t>0.673</w:t>
            </w:r>
          </w:p>
        </w:tc>
        <w:tc>
          <w:tcPr>
            <w:tcW w:type="dxa" w:w="1984"/>
          </w:tcPr>
          <w:p>
            <w:r>
              <w:rPr>
                <w:sz w:val="20"/>
              </w:rPr>
              <w:t>0.479–0.811</w:t>
            </w:r>
          </w:p>
        </w:tc>
        <w:tc>
          <w:tcPr>
            <w:tcW w:type="dxa" w:w="1417"/>
          </w:tcPr>
          <w:p>
            <w:r>
              <w:rPr>
                <w:sz w:val="20"/>
              </w:rPr>
              <w:t>0.239</w:t>
            </w:r>
          </w:p>
        </w:tc>
        <w:tc>
          <w:tcPr>
            <w:tcW w:type="dxa" w:w="1701"/>
          </w:tcPr>
          <w:p>
            <w:r>
              <w:rPr>
                <w:sz w:val="20"/>
              </w:rPr>
              <w:t>0.705</w:t>
            </w:r>
          </w:p>
        </w:tc>
      </w:tr>
      <w:tr>
        <w:tc>
          <w:tcPr>
            <w:tcW w:type="dxa" w:w="2551"/>
            <w:shd w:val="clear" w:color="auto" w:fill="F2F2F2"/>
          </w:tcPr>
          <w:p>
            <w:r>
              <w:rPr>
                <w:sz w:val="20"/>
              </w:rPr>
              <w:t>LightGBM</w:t>
            </w:r>
          </w:p>
        </w:tc>
        <w:tc>
          <w:tcPr>
            <w:tcW w:type="dxa" w:w="1701"/>
            <w:shd w:val="clear" w:color="auto" w:fill="F2F2F2"/>
          </w:tcPr>
          <w:p>
            <w:r>
              <w:rPr>
                <w:sz w:val="20"/>
              </w:rPr>
              <w:t>0.678</w:t>
            </w:r>
          </w:p>
        </w:tc>
        <w:tc>
          <w:tcPr>
            <w:tcW w:type="dxa" w:w="1984"/>
            <w:shd w:val="clear" w:color="auto" w:fill="F2F2F2"/>
          </w:tcPr>
          <w:p>
            <w:r>
              <w:rPr>
                <w:sz w:val="20"/>
              </w:rPr>
              <w:t>0.518–0.792</w:t>
            </w:r>
          </w:p>
        </w:tc>
        <w:tc>
          <w:tcPr>
            <w:tcW w:type="dxa" w:w="1417"/>
            <w:shd w:val="clear" w:color="auto" w:fill="F2F2F2"/>
          </w:tcPr>
          <w:p>
            <w:r>
              <w:rPr>
                <w:sz w:val="20"/>
              </w:rPr>
              <w:t>0.229</w:t>
            </w:r>
          </w:p>
        </w:tc>
        <w:tc>
          <w:tcPr>
            <w:tcW w:type="dxa" w:w="1701"/>
            <w:shd w:val="clear" w:color="auto" w:fill="F2F2F2"/>
          </w:tcPr>
          <w:p>
            <w:r>
              <w:rPr>
                <w:sz w:val="20"/>
              </w:rPr>
              <w:t>0.878</w:t>
            </w:r>
          </w:p>
        </w:tc>
      </w:tr>
      <w:tr>
        <w:tc>
          <w:tcPr>
            <w:tcW w:type="dxa" w:w="2551"/>
          </w:tcPr>
          <w:p>
            <w:r>
              <w:rPr>
                <w:sz w:val="20"/>
              </w:rPr>
              <w:t>TabPFN v3</w:t>
            </w:r>
          </w:p>
        </w:tc>
        <w:tc>
          <w:tcPr>
            <w:tcW w:type="dxa" w:w="1701"/>
          </w:tcPr>
          <w:p>
            <w:r>
              <w:rPr>
                <w:sz w:val="20"/>
              </w:rPr>
              <w:t>0.671</w:t>
            </w:r>
          </w:p>
        </w:tc>
        <w:tc>
          <w:tcPr>
            <w:tcW w:type="dxa" w:w="1984"/>
          </w:tcPr>
          <w:p>
            <w:r>
              <w:rPr>
                <w:sz w:val="20"/>
              </w:rPr>
              <w:t>0.508–0.815</w:t>
            </w:r>
          </w:p>
        </w:tc>
        <w:tc>
          <w:tcPr>
            <w:tcW w:type="dxa" w:w="1417"/>
          </w:tcPr>
          <w:p>
            <w:r>
              <w:rPr>
                <w:sz w:val="20"/>
              </w:rPr>
              <w:t>0.230</w:t>
            </w:r>
          </w:p>
        </w:tc>
        <w:tc>
          <w:tcPr>
            <w:tcW w:type="dxa" w:w="1701"/>
          </w:tcPr>
          <w:p>
            <w:r>
              <w:rPr>
                <w:sz w:val="20"/>
              </w:rPr>
              <w:t>0.734</w:t>
            </w:r>
          </w:p>
        </w:tc>
      </w:tr>
    </w:tbl>
    <w:p/>
    <w:p>
      <w:pPr>
        <w:spacing w:after="120"/>
      </w:pPr>
      <w:r>
        <w:t>At 5 years, TabPFN v3 performed at parity with the existing models on all three metrics (AUROC 0.671, within 0.008 of all comparators; Brier 0.230, mid-range). The clear Brier advantage seen at 1 year did not replicate here, plausibly because the higher event rate (46.6% vs 23.0%) leaves less room for calibration alone to move the Brier score.</w:t>
      </w:r>
    </w:p>
    <w:p>
      <w:pPr>
        <w:spacing w:after="120"/>
      </w:pPr>
      <w:r>
        <w:t>ESRD 5-Year — comparison with existing models (5×10-fold CV):</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0.797</w:t>
            </w:r>
          </w:p>
        </w:tc>
        <w:tc>
          <w:tcPr>
            <w:tcW w:type="dxa" w:w="1984"/>
          </w:tcPr>
          <w:p>
            <w:r>
              <w:rPr>
                <w:sz w:val="20"/>
              </w:rPr>
              <w:t>0.669–0.904</w:t>
            </w:r>
          </w:p>
        </w:tc>
        <w:tc>
          <w:tcPr>
            <w:tcW w:type="dxa" w:w="1417"/>
          </w:tcPr>
          <w:p>
            <w:r>
              <w:rPr>
                <w:sz w:val="20"/>
              </w:rPr>
              <w:t>0.178</w:t>
            </w:r>
          </w:p>
        </w:tc>
        <w:tc>
          <w:tcPr>
            <w:tcW w:type="dxa" w:w="1701"/>
          </w:tcPr>
          <w:p>
            <w:r>
              <w:rPr>
                <w:sz w:val="20"/>
              </w:rPr>
              <w:t>0.873</w:t>
            </w:r>
          </w:p>
        </w:tc>
      </w:tr>
      <w:tr>
        <w:tc>
          <w:tcPr>
            <w:tcW w:type="dxa" w:w="2551"/>
            <w:shd w:val="clear" w:color="auto" w:fill="F2F2F2"/>
          </w:tcPr>
          <w:p>
            <w:r>
              <w:rPr>
                <w:sz w:val="20"/>
              </w:rPr>
              <w:t>Random Forest</w:t>
            </w:r>
          </w:p>
        </w:tc>
        <w:tc>
          <w:tcPr>
            <w:tcW w:type="dxa" w:w="1701"/>
            <w:shd w:val="clear" w:color="auto" w:fill="F2F2F2"/>
          </w:tcPr>
          <w:p>
            <w:r>
              <w:rPr>
                <w:sz w:val="20"/>
              </w:rPr>
              <w:t>0.787</w:t>
            </w:r>
          </w:p>
        </w:tc>
        <w:tc>
          <w:tcPr>
            <w:tcW w:type="dxa" w:w="1984"/>
            <w:shd w:val="clear" w:color="auto" w:fill="F2F2F2"/>
          </w:tcPr>
          <w:p>
            <w:r>
              <w:rPr>
                <w:sz w:val="20"/>
              </w:rPr>
              <w:t>0.623–0.898</w:t>
            </w:r>
          </w:p>
        </w:tc>
        <w:tc>
          <w:tcPr>
            <w:tcW w:type="dxa" w:w="1417"/>
            <w:shd w:val="clear" w:color="auto" w:fill="F2F2F2"/>
          </w:tcPr>
          <w:p>
            <w:r>
              <w:rPr>
                <w:sz w:val="20"/>
              </w:rPr>
              <w:t>0.164</w:t>
            </w:r>
          </w:p>
        </w:tc>
        <w:tc>
          <w:tcPr>
            <w:tcW w:type="dxa" w:w="1701"/>
            <w:shd w:val="clear" w:color="auto" w:fill="F2F2F2"/>
          </w:tcPr>
          <w:p>
            <w:r>
              <w:rPr>
                <w:sz w:val="20"/>
              </w:rPr>
              <w:t>1.013</w:t>
            </w:r>
          </w:p>
        </w:tc>
      </w:tr>
      <w:tr>
        <w:tc>
          <w:tcPr>
            <w:tcW w:type="dxa" w:w="2551"/>
          </w:tcPr>
          <w:p>
            <w:r>
              <w:rPr>
                <w:sz w:val="20"/>
              </w:rPr>
              <w:t>XGBoost</w:t>
            </w:r>
          </w:p>
        </w:tc>
        <w:tc>
          <w:tcPr>
            <w:tcW w:type="dxa" w:w="1701"/>
          </w:tcPr>
          <w:p>
            <w:r>
              <w:rPr>
                <w:sz w:val="20"/>
              </w:rPr>
              <w:t>0.792</w:t>
            </w:r>
          </w:p>
        </w:tc>
        <w:tc>
          <w:tcPr>
            <w:tcW w:type="dxa" w:w="1984"/>
          </w:tcPr>
          <w:p>
            <w:r>
              <w:rPr>
                <w:sz w:val="20"/>
              </w:rPr>
              <w:t>0.631–0.901</w:t>
            </w:r>
          </w:p>
        </w:tc>
        <w:tc>
          <w:tcPr>
            <w:tcW w:type="dxa" w:w="1417"/>
          </w:tcPr>
          <w:p>
            <w:r>
              <w:rPr>
                <w:sz w:val="20"/>
              </w:rPr>
              <w:t>0.178</w:t>
            </w:r>
          </w:p>
        </w:tc>
        <w:tc>
          <w:tcPr>
            <w:tcW w:type="dxa" w:w="1701"/>
          </w:tcPr>
          <w:p>
            <w:r>
              <w:rPr>
                <w:sz w:val="20"/>
              </w:rPr>
              <w:t>1.288</w:t>
            </w:r>
          </w:p>
        </w:tc>
      </w:tr>
      <w:tr>
        <w:tc>
          <w:tcPr>
            <w:tcW w:type="dxa" w:w="2551"/>
            <w:shd w:val="clear" w:color="auto" w:fill="F2F2F2"/>
          </w:tcPr>
          <w:p>
            <w:r>
              <w:rPr>
                <w:sz w:val="20"/>
              </w:rPr>
              <w:t>LightGBM</w:t>
            </w:r>
          </w:p>
        </w:tc>
        <w:tc>
          <w:tcPr>
            <w:tcW w:type="dxa" w:w="1701"/>
            <w:shd w:val="clear" w:color="auto" w:fill="F2F2F2"/>
          </w:tcPr>
          <w:p>
            <w:r>
              <w:rPr>
                <w:sz w:val="20"/>
              </w:rPr>
              <w:t>0.797</w:t>
            </w:r>
          </w:p>
        </w:tc>
        <w:tc>
          <w:tcPr>
            <w:tcW w:type="dxa" w:w="1984"/>
            <w:shd w:val="clear" w:color="auto" w:fill="F2F2F2"/>
          </w:tcPr>
          <w:p>
            <w:r>
              <w:rPr>
                <w:sz w:val="20"/>
              </w:rPr>
              <w:t>0.653–0.923</w:t>
            </w:r>
          </w:p>
        </w:tc>
        <w:tc>
          <w:tcPr>
            <w:tcW w:type="dxa" w:w="1417"/>
            <w:shd w:val="clear" w:color="auto" w:fill="F2F2F2"/>
          </w:tcPr>
          <w:p>
            <w:r>
              <w:rPr>
                <w:sz w:val="20"/>
              </w:rPr>
              <w:t>0.171</w:t>
            </w:r>
          </w:p>
        </w:tc>
        <w:tc>
          <w:tcPr>
            <w:tcW w:type="dxa" w:w="1701"/>
            <w:shd w:val="clear" w:color="auto" w:fill="F2F2F2"/>
          </w:tcPr>
          <w:p>
            <w:r>
              <w:rPr>
                <w:sz w:val="20"/>
              </w:rPr>
              <w:t>1.053</w:t>
            </w:r>
          </w:p>
        </w:tc>
      </w:tr>
      <w:tr>
        <w:tc>
          <w:tcPr>
            <w:tcW w:type="dxa" w:w="2551"/>
          </w:tcPr>
          <w:p>
            <w:r>
              <w:rPr>
                <w:sz w:val="20"/>
              </w:rPr>
              <w:t>TabPFN v3</w:t>
            </w:r>
          </w:p>
        </w:tc>
        <w:tc>
          <w:tcPr>
            <w:tcW w:type="dxa" w:w="1701"/>
          </w:tcPr>
          <w:p>
            <w:r>
              <w:rPr>
                <w:sz w:val="20"/>
              </w:rPr>
              <w:t>0.796</w:t>
            </w:r>
          </w:p>
        </w:tc>
        <w:tc>
          <w:tcPr>
            <w:tcW w:type="dxa" w:w="1984"/>
          </w:tcPr>
          <w:p>
            <w:r>
              <w:rPr>
                <w:sz w:val="20"/>
              </w:rPr>
              <w:t>0.621–0.898</w:t>
            </w:r>
          </w:p>
        </w:tc>
        <w:tc>
          <w:tcPr>
            <w:tcW w:type="dxa" w:w="1417"/>
          </w:tcPr>
          <w:p>
            <w:r>
              <w:rPr>
                <w:sz w:val="20"/>
              </w:rPr>
              <w:t>0.100</w:t>
            </w:r>
          </w:p>
        </w:tc>
        <w:tc>
          <w:tcPr>
            <w:tcW w:type="dxa" w:w="1701"/>
          </w:tcPr>
          <w:p>
            <w:r>
              <w:rPr>
                <w:sz w:val="20"/>
              </w:rPr>
              <w:t>0.891</w:t>
            </w:r>
          </w:p>
        </w:tc>
      </w:tr>
    </w:tbl>
    <w:p/>
    <w:p>
      <w:pPr>
        <w:spacing w:after="120"/>
      </w:pPr>
      <w:r>
        <w:t>TabPFN v3 matched the best-performing models on discrimination (AUROC 0.796, effectively tied with LR and LightGBM at 0.797) while achieving a markedly lower Brier score (0.100 vs 0.164–0.178 for the other four models) — the largest calibration advantage seen across any cohort in this benchmark.</w:t>
      </w:r>
    </w:p>
    <w:p>
      <w:pPr>
        <w:spacing w:after="120"/>
      </w:pPr>
      <w:r>
        <w:t>ESRD 10-Year — comparison with existing models (5×10-fold CV):</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BDD7EE"/>
          </w:tcPr>
          <w:p>
            <w:r>
              <w:rPr>
                <w:b/>
                <w:sz w:val="20"/>
              </w:rPr>
              <w:t>Model</w:t>
            </w:r>
          </w:p>
        </w:tc>
        <w:tc>
          <w:tcPr>
            <w:tcW w:type="dxa" w:w="1701"/>
            <w:shd w:val="clear" w:color="auto" w:fill="BDD7EE"/>
          </w:tcPr>
          <w:p>
            <w:r>
              <w:rPr>
                <w:b/>
                <w:sz w:val="20"/>
              </w:rPr>
              <w:t>CV AUROC</w:t>
            </w:r>
          </w:p>
        </w:tc>
        <w:tc>
          <w:tcPr>
            <w:tcW w:type="dxa" w:w="1984"/>
            <w:shd w:val="clear" w:color="auto" w:fill="BDD7EE"/>
          </w:tcPr>
          <w:p>
            <w:r>
              <w:rPr>
                <w:b/>
                <w:sz w:val="20"/>
              </w:rPr>
              <w:t>95% CI</w:t>
            </w:r>
          </w:p>
        </w:tc>
        <w:tc>
          <w:tcPr>
            <w:tcW w:type="dxa" w:w="1417"/>
            <w:shd w:val="clear" w:color="auto" w:fill="BDD7EE"/>
          </w:tcPr>
          <w:p>
            <w:r>
              <w:rPr>
                <w:b/>
                <w:sz w:val="20"/>
              </w:rPr>
              <w:t>Brier</w:t>
            </w:r>
          </w:p>
        </w:tc>
        <w:tc>
          <w:tcPr>
            <w:tcW w:type="dxa" w:w="1701"/>
            <w:shd w:val="clear" w:color="auto" w:fill="BDD7EE"/>
          </w:tcPr>
          <w:p>
            <w:r>
              <w:rPr>
                <w:b/>
                <w:sz w:val="20"/>
              </w:rPr>
              <w:t>Cal Slope</w:t>
            </w:r>
          </w:p>
        </w:tc>
      </w:tr>
      <w:tr>
        <w:tc>
          <w:tcPr>
            <w:tcW w:type="dxa" w:w="2551"/>
          </w:tcPr>
          <w:p>
            <w:r>
              <w:rPr>
                <w:sz w:val="20"/>
              </w:rPr>
              <w:t>Logistic Regression</w:t>
            </w:r>
          </w:p>
        </w:tc>
        <w:tc>
          <w:tcPr>
            <w:tcW w:type="dxa" w:w="1701"/>
          </w:tcPr>
          <w:p>
            <w:r>
              <w:rPr>
                <w:sz w:val="20"/>
              </w:rPr>
              <w:t>0.811</w:t>
            </w:r>
          </w:p>
        </w:tc>
        <w:tc>
          <w:tcPr>
            <w:tcW w:type="dxa" w:w="1984"/>
          </w:tcPr>
          <w:p>
            <w:r>
              <w:rPr>
                <w:sz w:val="20"/>
              </w:rPr>
              <w:t>0.656–0.903</w:t>
            </w:r>
          </w:p>
        </w:tc>
        <w:tc>
          <w:tcPr>
            <w:tcW w:type="dxa" w:w="1417"/>
          </w:tcPr>
          <w:p>
            <w:r>
              <w:rPr>
                <w:sz w:val="20"/>
              </w:rPr>
              <w:t>0.167</w:t>
            </w:r>
          </w:p>
        </w:tc>
        <w:tc>
          <w:tcPr>
            <w:tcW w:type="dxa" w:w="1701"/>
          </w:tcPr>
          <w:p>
            <w:r>
              <w:rPr>
                <w:sz w:val="20"/>
              </w:rPr>
              <w:t>0.874</w:t>
            </w:r>
          </w:p>
        </w:tc>
      </w:tr>
      <w:tr>
        <w:tc>
          <w:tcPr>
            <w:tcW w:type="dxa" w:w="2551"/>
            <w:shd w:val="clear" w:color="auto" w:fill="F2F2F2"/>
          </w:tcPr>
          <w:p>
            <w:r>
              <w:rPr>
                <w:sz w:val="20"/>
              </w:rPr>
              <w:t>Random Forest</w:t>
            </w:r>
          </w:p>
        </w:tc>
        <w:tc>
          <w:tcPr>
            <w:tcW w:type="dxa" w:w="1701"/>
            <w:shd w:val="clear" w:color="auto" w:fill="F2F2F2"/>
          </w:tcPr>
          <w:p>
            <w:r>
              <w:rPr>
                <w:sz w:val="20"/>
              </w:rPr>
              <w:t>0.817</w:t>
            </w:r>
          </w:p>
        </w:tc>
        <w:tc>
          <w:tcPr>
            <w:tcW w:type="dxa" w:w="1984"/>
            <w:shd w:val="clear" w:color="auto" w:fill="F2F2F2"/>
          </w:tcPr>
          <w:p>
            <w:r>
              <w:rPr>
                <w:sz w:val="20"/>
              </w:rPr>
              <w:t>0.710–0.931</w:t>
            </w:r>
          </w:p>
        </w:tc>
        <w:tc>
          <w:tcPr>
            <w:tcW w:type="dxa" w:w="1417"/>
            <w:shd w:val="clear" w:color="auto" w:fill="F2F2F2"/>
          </w:tcPr>
          <w:p>
            <w:r>
              <w:rPr>
                <w:sz w:val="20"/>
              </w:rPr>
              <w:t>0.139</w:t>
            </w:r>
          </w:p>
        </w:tc>
        <w:tc>
          <w:tcPr>
            <w:tcW w:type="dxa" w:w="1701"/>
            <w:shd w:val="clear" w:color="auto" w:fill="F2F2F2"/>
          </w:tcPr>
          <w:p>
            <w:r>
              <w:rPr>
                <w:sz w:val="20"/>
              </w:rPr>
              <w:t>1.152</w:t>
            </w:r>
          </w:p>
        </w:tc>
      </w:tr>
      <w:tr>
        <w:tc>
          <w:tcPr>
            <w:tcW w:type="dxa" w:w="2551"/>
          </w:tcPr>
          <w:p>
            <w:r>
              <w:rPr>
                <w:sz w:val="20"/>
              </w:rPr>
              <w:t>XGBoost</w:t>
            </w:r>
          </w:p>
        </w:tc>
        <w:tc>
          <w:tcPr>
            <w:tcW w:type="dxa" w:w="1701"/>
          </w:tcPr>
          <w:p>
            <w:r>
              <w:rPr>
                <w:sz w:val="20"/>
              </w:rPr>
              <w:t>0.821</w:t>
            </w:r>
          </w:p>
        </w:tc>
        <w:tc>
          <w:tcPr>
            <w:tcW w:type="dxa" w:w="1984"/>
          </w:tcPr>
          <w:p>
            <w:r>
              <w:rPr>
                <w:sz w:val="20"/>
              </w:rPr>
              <w:t>0.696–0.933</w:t>
            </w:r>
          </w:p>
        </w:tc>
        <w:tc>
          <w:tcPr>
            <w:tcW w:type="dxa" w:w="1417"/>
          </w:tcPr>
          <w:p>
            <w:r>
              <w:rPr>
                <w:sz w:val="20"/>
              </w:rPr>
              <w:t>0.155</w:t>
            </w:r>
          </w:p>
        </w:tc>
        <w:tc>
          <w:tcPr>
            <w:tcW w:type="dxa" w:w="1701"/>
          </w:tcPr>
          <w:p>
            <w:r>
              <w:rPr>
                <w:sz w:val="20"/>
              </w:rPr>
              <w:t>0.963</w:t>
            </w:r>
          </w:p>
        </w:tc>
      </w:tr>
      <w:tr>
        <w:tc>
          <w:tcPr>
            <w:tcW w:type="dxa" w:w="2551"/>
            <w:shd w:val="clear" w:color="auto" w:fill="F2F2F2"/>
          </w:tcPr>
          <w:p>
            <w:r>
              <w:rPr>
                <w:sz w:val="20"/>
              </w:rPr>
              <w:t>LightGBM</w:t>
            </w:r>
          </w:p>
        </w:tc>
        <w:tc>
          <w:tcPr>
            <w:tcW w:type="dxa" w:w="1701"/>
            <w:shd w:val="clear" w:color="auto" w:fill="F2F2F2"/>
          </w:tcPr>
          <w:p>
            <w:r>
              <w:rPr>
                <w:sz w:val="20"/>
              </w:rPr>
              <w:t>0.809</w:t>
            </w:r>
          </w:p>
        </w:tc>
        <w:tc>
          <w:tcPr>
            <w:tcW w:type="dxa" w:w="1984"/>
            <w:shd w:val="clear" w:color="auto" w:fill="F2F2F2"/>
          </w:tcPr>
          <w:p>
            <w:r>
              <w:rPr>
                <w:sz w:val="20"/>
              </w:rPr>
              <w:t>0.701–0.926</w:t>
            </w:r>
          </w:p>
        </w:tc>
        <w:tc>
          <w:tcPr>
            <w:tcW w:type="dxa" w:w="1417"/>
            <w:shd w:val="clear" w:color="auto" w:fill="F2F2F2"/>
          </w:tcPr>
          <w:p>
            <w:r>
              <w:rPr>
                <w:sz w:val="20"/>
              </w:rPr>
              <w:t>0.140</w:t>
            </w:r>
          </w:p>
        </w:tc>
        <w:tc>
          <w:tcPr>
            <w:tcW w:type="dxa" w:w="1701"/>
            <w:shd w:val="clear" w:color="auto" w:fill="F2F2F2"/>
          </w:tcPr>
          <w:p>
            <w:r>
              <w:rPr>
                <w:sz w:val="20"/>
              </w:rPr>
              <w:t>0.714</w:t>
            </w:r>
          </w:p>
        </w:tc>
      </w:tr>
      <w:tr>
        <w:tc>
          <w:tcPr>
            <w:tcW w:type="dxa" w:w="2551"/>
          </w:tcPr>
          <w:p>
            <w:r>
              <w:rPr>
                <w:sz w:val="20"/>
              </w:rPr>
              <w:t>TabPFN v3</w:t>
            </w:r>
          </w:p>
        </w:tc>
        <w:tc>
          <w:tcPr>
            <w:tcW w:type="dxa" w:w="1701"/>
          </w:tcPr>
          <w:p>
            <w:r>
              <w:rPr>
                <w:sz w:val="20"/>
              </w:rPr>
              <w:t>0.817</w:t>
            </w:r>
          </w:p>
        </w:tc>
        <w:tc>
          <w:tcPr>
            <w:tcW w:type="dxa" w:w="1984"/>
          </w:tcPr>
          <w:p>
            <w:r>
              <w:rPr>
                <w:sz w:val="20"/>
              </w:rPr>
              <w:t>0.710–0.926</w:t>
            </w:r>
          </w:p>
        </w:tc>
        <w:tc>
          <w:tcPr>
            <w:tcW w:type="dxa" w:w="1417"/>
          </w:tcPr>
          <w:p>
            <w:r>
              <w:rPr>
                <w:sz w:val="20"/>
              </w:rPr>
              <w:t>0.122</w:t>
            </w:r>
          </w:p>
        </w:tc>
        <w:tc>
          <w:tcPr>
            <w:tcW w:type="dxa" w:w="1701"/>
          </w:tcPr>
          <w:p>
            <w:r>
              <w:rPr>
                <w:sz w:val="20"/>
              </w:rPr>
              <w:t>0.904</w:t>
            </w:r>
          </w:p>
        </w:tc>
      </w:tr>
    </w:tbl>
    <w:p/>
    <w:p>
      <w:pPr>
        <w:spacing w:after="120"/>
      </w:pPr>
      <w:r>
        <w:t>TabPFN v3 tied Random Forest for the highest AUROC (0.817) and again produced the best-calibrated probabilities of all five models (Brier 0.122 vs 0.139–0.167). Across both ESRD horizons, TabPFN v3's discrimination is competitive with the tuned tree ensembles while consistently improving calibration — its main advantage throughout this benchmark is Brier score, not AUROC.</w:t>
      </w:r>
    </w:p>
    <w:p>
      <w:pPr>
        <w:pStyle w:val="Heading1"/>
        <w:spacing w:before="280" w:after="80"/>
      </w:pPr>
      <w:r>
        <w:t>11. File and Script Reference</w:t>
      </w:r>
    </w:p>
    <w:p>
      <w:pPr>
        <w:pStyle w:val="Heading2"/>
        <w:spacing w:before="160" w:after="80"/>
      </w:pPr>
      <w:r>
        <w:t>11.1 Data Files</w:t>
      </w:r>
    </w:p>
    <w:tbl>
      <w:tblPr>
        <w:tblStyle w:val="TableGrid"/>
        <w:tblW w:type="auto" w:w="0"/>
        <w:jc w:val="center"/>
        <w:tblLook w:firstColumn="1" w:firstRow="1" w:lastColumn="0" w:lastRow="0" w:noHBand="0" w:noVBand="1" w:val="04A0"/>
      </w:tblPr>
      <w:tblGrid>
        <w:gridCol w:w="3022"/>
        <w:gridCol w:w="3022"/>
        <w:gridCol w:w="3022"/>
      </w:tblGrid>
      <w:tr>
        <w:tc>
          <w:tcPr>
            <w:tcW w:type="dxa" w:w="3118"/>
            <w:shd w:val="clear" w:color="auto" w:fill="BDD7EE"/>
          </w:tcPr>
          <w:p>
            <w:r>
              <w:rPr>
                <w:b/>
                <w:sz w:val="20"/>
              </w:rPr>
              <w:t>File</w:t>
            </w:r>
          </w:p>
        </w:tc>
        <w:tc>
          <w:tcPr>
            <w:tcW w:type="dxa" w:w="1984"/>
            <w:shd w:val="clear" w:color="auto" w:fill="BDD7EE"/>
          </w:tcPr>
          <w:p>
            <w:r>
              <w:rPr>
                <w:b/>
                <w:sz w:val="20"/>
              </w:rPr>
              <w:t>Location</w:t>
            </w:r>
          </w:p>
        </w:tc>
        <w:tc>
          <w:tcPr>
            <w:tcW w:type="dxa" w:w="3969"/>
            <w:shd w:val="clear" w:color="auto" w:fill="BDD7EE"/>
          </w:tcPr>
          <w:p>
            <w:r>
              <w:rPr>
                <w:b/>
                <w:sz w:val="20"/>
              </w:rPr>
              <w:t>Description</w:t>
            </w:r>
          </w:p>
        </w:tc>
      </w:tr>
      <w:tr>
        <w:tc>
          <w:tcPr>
            <w:tcW w:type="dxa" w:w="3118"/>
          </w:tcPr>
          <w:p>
            <w:r>
              <w:rPr>
                <w:sz w:val="20"/>
              </w:rPr>
              <w:t>data_lupus.xlsx</w:t>
            </w:r>
          </w:p>
        </w:tc>
        <w:tc>
          <w:tcPr>
            <w:tcW w:type="dxa" w:w="1984"/>
          </w:tcPr>
          <w:p>
            <w:r>
              <w:rPr>
                <w:sz w:val="20"/>
              </w:rPr>
              <w:t>Data/Raw/</w:t>
            </w:r>
          </w:p>
        </w:tc>
        <w:tc>
          <w:tcPr>
            <w:tcW w:type="dxa" w:w="3969"/>
          </w:tcPr>
          <w:p>
            <w:r>
              <w:rPr>
                <w:sz w:val="20"/>
              </w:rPr>
              <w:t>Source data (1,070 episodes, 207 variables)</w:t>
            </w:r>
          </w:p>
        </w:tc>
      </w:tr>
      <w:tr>
        <w:tc>
          <w:tcPr>
            <w:tcW w:type="dxa" w:w="3118"/>
            <w:shd w:val="clear" w:color="auto" w:fill="F2F2F2"/>
          </w:tcPr>
          <w:p>
            <w:r>
              <w:rPr>
                <w:sz w:val="20"/>
              </w:rPr>
              <w:t>lupus_1yr_flare_dataset.xlsx</w:t>
            </w:r>
          </w:p>
        </w:tc>
        <w:tc>
          <w:tcPr>
            <w:tcW w:type="dxa" w:w="1984"/>
            <w:shd w:val="clear" w:color="auto" w:fill="F2F2F2"/>
          </w:tcPr>
          <w:p>
            <w:r>
              <w:rPr>
                <w:sz w:val="20"/>
              </w:rPr>
              <w:t>Data/Processed/</w:t>
            </w:r>
          </w:p>
        </w:tc>
        <w:tc>
          <w:tcPr>
            <w:tcW w:type="dxa" w:w="3969"/>
            <w:shd w:val="clear" w:color="auto" w:fill="F2F2F2"/>
          </w:tcPr>
          <w:p>
            <w:r>
              <w:rPr>
                <w:sz w:val="20"/>
              </w:rPr>
              <w:t>1-year cohort (430 patients)</w:t>
            </w:r>
          </w:p>
        </w:tc>
      </w:tr>
      <w:tr>
        <w:tc>
          <w:tcPr>
            <w:tcW w:type="dxa" w:w="3118"/>
          </w:tcPr>
          <w:p>
            <w:r>
              <w:rPr>
                <w:sz w:val="20"/>
              </w:rPr>
              <w:t>lupus_5yr_flare_dataset.xlsx</w:t>
            </w:r>
          </w:p>
        </w:tc>
        <w:tc>
          <w:tcPr>
            <w:tcW w:type="dxa" w:w="1984"/>
          </w:tcPr>
          <w:p>
            <w:r>
              <w:rPr>
                <w:sz w:val="20"/>
              </w:rPr>
              <w:t>Data/Processed/</w:t>
            </w:r>
          </w:p>
        </w:tc>
        <w:tc>
          <w:tcPr>
            <w:tcW w:type="dxa" w:w="3969"/>
          </w:tcPr>
          <w:p>
            <w:r>
              <w:rPr>
                <w:sz w:val="20"/>
              </w:rPr>
              <w:t>5-year cohort (356 patients)</w:t>
            </w:r>
          </w:p>
        </w:tc>
      </w:tr>
      <w:tr>
        <w:tc>
          <w:tcPr>
            <w:tcW w:type="dxa" w:w="3118"/>
            <w:shd w:val="clear" w:color="auto" w:fill="F2F2F2"/>
          </w:tcPr>
          <w:p>
            <w:r>
              <w:rPr>
                <w:sz w:val="20"/>
              </w:rPr>
              <w:t>lupus_1yr_imputed.xlsx</w:t>
            </w:r>
          </w:p>
        </w:tc>
        <w:tc>
          <w:tcPr>
            <w:tcW w:type="dxa" w:w="1984"/>
            <w:shd w:val="clear" w:color="auto" w:fill="F2F2F2"/>
          </w:tcPr>
          <w:p>
            <w:r>
              <w:rPr>
                <w:sz w:val="20"/>
              </w:rPr>
              <w:t>Data/Processed/</w:t>
            </w:r>
          </w:p>
        </w:tc>
        <w:tc>
          <w:tcPr>
            <w:tcW w:type="dxa" w:w="3969"/>
            <w:shd w:val="clear" w:color="auto" w:fill="F2F2F2"/>
          </w:tcPr>
          <w:p>
            <w:r>
              <w:rPr>
                <w:sz w:val="20"/>
              </w:rPr>
              <w:t>MICE-imputed 1-year dataset</w:t>
            </w:r>
          </w:p>
        </w:tc>
      </w:tr>
      <w:tr>
        <w:tc>
          <w:tcPr>
            <w:tcW w:type="dxa" w:w="3118"/>
          </w:tcPr>
          <w:p>
            <w:r>
              <w:rPr>
                <w:sz w:val="20"/>
              </w:rPr>
              <w:t>lupus_5yr_imputed.xlsx</w:t>
            </w:r>
          </w:p>
        </w:tc>
        <w:tc>
          <w:tcPr>
            <w:tcW w:type="dxa" w:w="1984"/>
          </w:tcPr>
          <w:p>
            <w:r>
              <w:rPr>
                <w:sz w:val="20"/>
              </w:rPr>
              <w:t>Data/Processed/</w:t>
            </w:r>
          </w:p>
        </w:tc>
        <w:tc>
          <w:tcPr>
            <w:tcW w:type="dxa" w:w="3969"/>
          </w:tcPr>
          <w:p>
            <w:r>
              <w:rPr>
                <w:sz w:val="20"/>
              </w:rPr>
              <w:t>MICE-imputed 5-year dataset</w:t>
            </w:r>
          </w:p>
        </w:tc>
      </w:tr>
      <w:tr>
        <w:tc>
          <w:tcPr>
            <w:tcW w:type="dxa" w:w="3118"/>
            <w:shd w:val="clear" w:color="auto" w:fill="F2F2F2"/>
          </w:tcPr>
          <w:p>
            <w:r>
              <w:rPr>
                <w:sz w:val="20"/>
              </w:rPr>
              <w:t>lupus_1yr_selected_clean.xlsx</w:t>
            </w:r>
          </w:p>
        </w:tc>
        <w:tc>
          <w:tcPr>
            <w:tcW w:type="dxa" w:w="1984"/>
            <w:shd w:val="clear" w:color="auto" w:fill="F2F2F2"/>
          </w:tcPr>
          <w:p>
            <w:r>
              <w:rPr>
                <w:sz w:val="20"/>
              </w:rPr>
              <w:t>Data/Processed/</w:t>
            </w:r>
          </w:p>
        </w:tc>
        <w:tc>
          <w:tcPr>
            <w:tcW w:type="dxa" w:w="3969"/>
            <w:shd w:val="clear" w:color="auto" w:fill="F2F2F2"/>
          </w:tcPr>
          <w:p>
            <w:r>
              <w:rPr>
                <w:sz w:val="20"/>
              </w:rPr>
              <w:t>Final 9 predictors, 1-year</w:t>
            </w:r>
          </w:p>
        </w:tc>
      </w:tr>
      <w:tr>
        <w:tc>
          <w:tcPr>
            <w:tcW w:type="dxa" w:w="3118"/>
          </w:tcPr>
          <w:p>
            <w:r>
              <w:rPr>
                <w:sz w:val="20"/>
              </w:rPr>
              <w:t>lupus_5yr_selected_clean.xlsx</w:t>
            </w:r>
          </w:p>
        </w:tc>
        <w:tc>
          <w:tcPr>
            <w:tcW w:type="dxa" w:w="1984"/>
          </w:tcPr>
          <w:p>
            <w:r>
              <w:rPr>
                <w:sz w:val="20"/>
              </w:rPr>
              <w:t>Data/Processed/</w:t>
            </w:r>
          </w:p>
        </w:tc>
        <w:tc>
          <w:tcPr>
            <w:tcW w:type="dxa" w:w="3969"/>
          </w:tcPr>
          <w:p>
            <w:r>
              <w:rPr>
                <w:sz w:val="20"/>
              </w:rPr>
              <w:t>Final 10 predictors, 5-year</w:t>
            </w:r>
          </w:p>
        </w:tc>
      </w:tr>
      <w:tr>
        <w:tc>
          <w:tcPr>
            <w:tcW w:type="dxa" w:w="3118"/>
            <w:shd w:val="clear" w:color="auto" w:fill="F2F2F2"/>
          </w:tcPr>
          <w:p>
            <w:r>
              <w:rPr>
                <w:sz w:val="20"/>
              </w:rPr>
              <w:t>lupus_5yr_serial_dataset.xlsx</w:t>
            </w:r>
          </w:p>
        </w:tc>
        <w:tc>
          <w:tcPr>
            <w:tcW w:type="dxa" w:w="1984"/>
            <w:shd w:val="clear" w:color="auto" w:fill="F2F2F2"/>
          </w:tcPr>
          <w:p>
            <w:r>
              <w:rPr>
                <w:sz w:val="20"/>
              </w:rPr>
              <w:t>Data/Processed/</w:t>
            </w:r>
          </w:p>
        </w:tc>
        <w:tc>
          <w:tcPr>
            <w:tcW w:type="dxa" w:w="3969"/>
            <w:shd w:val="clear" w:color="auto" w:fill="F2F2F2"/>
          </w:tcPr>
          <w:p>
            <w:r>
              <w:rPr>
                <w:sz w:val="20"/>
              </w:rPr>
              <w:t>Serial biopsy dataset (70 patients, raw+delta features)</w:t>
            </w:r>
          </w:p>
        </w:tc>
      </w:tr>
      <w:tr>
        <w:tc>
          <w:tcPr>
            <w:tcW w:type="dxa" w:w="3118"/>
          </w:tcPr>
          <w:p>
            <w:r>
              <w:rPr>
                <w:sz w:val="20"/>
              </w:rPr>
              <w:t>lupus_5yr_serial_selected.xlsx</w:t>
            </w:r>
          </w:p>
        </w:tc>
        <w:tc>
          <w:tcPr>
            <w:tcW w:type="dxa" w:w="1984"/>
          </w:tcPr>
          <w:p>
            <w:r>
              <w:rPr>
                <w:sz w:val="20"/>
              </w:rPr>
              <w:t>Data/Processed/</w:t>
            </w:r>
          </w:p>
        </w:tc>
        <w:tc>
          <w:tcPr>
            <w:tcW w:type="dxa" w:w="3969"/>
          </w:tcPr>
          <w:p>
            <w:r>
              <w:rPr>
                <w:sz w:val="20"/>
              </w:rPr>
              <w:t>Serial biopsy final 2 predictors</w:t>
            </w:r>
          </w:p>
        </w:tc>
      </w:tr>
      <w:tr>
        <w:tc>
          <w:tcPr>
            <w:tcW w:type="dxa" w:w="3118"/>
            <w:shd w:val="clear" w:color="auto" w:fill="F2F2F2"/>
          </w:tcPr>
          <w:p>
            <w:r>
              <w:rPr>
                <w:sz w:val="20"/>
              </w:rPr>
              <w:t>lupus_esrd_dataset.xlsx</w:t>
            </w:r>
          </w:p>
        </w:tc>
        <w:tc>
          <w:tcPr>
            <w:tcW w:type="dxa" w:w="1984"/>
            <w:shd w:val="clear" w:color="auto" w:fill="F2F2F2"/>
          </w:tcPr>
          <w:p>
            <w:r>
              <w:rPr>
                <w:sz w:val="20"/>
              </w:rPr>
              <w:t>Data/Processed/</w:t>
            </w:r>
          </w:p>
        </w:tc>
        <w:tc>
          <w:tcPr>
            <w:tcW w:type="dxa" w:w="3969"/>
            <w:shd w:val="clear" w:color="auto" w:fill="F2F2F2"/>
          </w:tcPr>
          <w:p>
            <w:r>
              <w:rPr>
                <w:sz w:val="20"/>
              </w:rPr>
              <w:t>ESRD cohort (index biopsies, from 01_data_prep_esrd.py)</w:t>
            </w:r>
          </w:p>
        </w:tc>
      </w:tr>
      <w:tr>
        <w:tc>
          <w:tcPr>
            <w:tcW w:type="dxa" w:w="3118"/>
          </w:tcPr>
          <w:p>
            <w:r>
              <w:rPr>
                <w:sz w:val="20"/>
              </w:rPr>
              <w:t>1yr_model_results.xlsx</w:t>
            </w:r>
          </w:p>
        </w:tc>
        <w:tc>
          <w:tcPr>
            <w:tcW w:type="dxa" w:w="1984"/>
          </w:tcPr>
          <w:p>
            <w:r>
              <w:rPr>
                <w:sz w:val="20"/>
              </w:rPr>
              <w:t>outputs/</w:t>
            </w:r>
          </w:p>
        </w:tc>
        <w:tc>
          <w:tcPr>
            <w:tcW w:type="dxa" w:w="3969"/>
          </w:tcPr>
          <w:p>
            <w:r>
              <w:rPr>
                <w:sz w:val="20"/>
              </w:rPr>
              <w:t>1-year CV, bootstrap, hyperparameters (3 sheets)</w:t>
            </w:r>
          </w:p>
        </w:tc>
      </w:tr>
      <w:tr>
        <w:tc>
          <w:tcPr>
            <w:tcW w:type="dxa" w:w="3118"/>
            <w:shd w:val="clear" w:color="auto" w:fill="F2F2F2"/>
          </w:tcPr>
          <w:p>
            <w:r>
              <w:rPr>
                <w:sz w:val="20"/>
              </w:rPr>
              <w:t>1yr_best_params.json</w:t>
            </w:r>
          </w:p>
        </w:tc>
        <w:tc>
          <w:tcPr>
            <w:tcW w:type="dxa" w:w="1984"/>
            <w:shd w:val="clear" w:color="auto" w:fill="F2F2F2"/>
          </w:tcPr>
          <w:p>
            <w:r>
              <w:rPr>
                <w:sz w:val="20"/>
              </w:rPr>
              <w:t>outputs/</w:t>
            </w:r>
          </w:p>
        </w:tc>
        <w:tc>
          <w:tcPr>
            <w:tcW w:type="dxa" w:w="3969"/>
            <w:shd w:val="clear" w:color="auto" w:fill="F2F2F2"/>
          </w:tcPr>
          <w:p>
            <w:r>
              <w:rPr>
                <w:sz w:val="20"/>
              </w:rPr>
              <w:t>1-year best hyperparameters (JSON)</w:t>
            </w:r>
          </w:p>
        </w:tc>
      </w:tr>
      <w:tr>
        <w:tc>
          <w:tcPr>
            <w:tcW w:type="dxa" w:w="3118"/>
          </w:tcPr>
          <w:p>
            <w:r>
              <w:rPr>
                <w:sz w:val="20"/>
              </w:rPr>
              <w:t>5yr_model_results.xlsx</w:t>
            </w:r>
          </w:p>
        </w:tc>
        <w:tc>
          <w:tcPr>
            <w:tcW w:type="dxa" w:w="1984"/>
          </w:tcPr>
          <w:p>
            <w:r>
              <w:rPr>
                <w:sz w:val="20"/>
              </w:rPr>
              <w:t>outputs/</w:t>
            </w:r>
          </w:p>
        </w:tc>
        <w:tc>
          <w:tcPr>
            <w:tcW w:type="dxa" w:w="3969"/>
          </w:tcPr>
          <w:p>
            <w:r>
              <w:rPr>
                <w:sz w:val="20"/>
              </w:rPr>
              <w:t>5-year CV, bootstrap, hyperparameters (3 sheets)</w:t>
            </w:r>
          </w:p>
        </w:tc>
      </w:tr>
      <w:tr>
        <w:tc>
          <w:tcPr>
            <w:tcW w:type="dxa" w:w="3118"/>
            <w:shd w:val="clear" w:color="auto" w:fill="F2F2F2"/>
          </w:tcPr>
          <w:p>
            <w:r>
              <w:rPr>
                <w:sz w:val="20"/>
              </w:rPr>
              <w:t>5yr_best_params.json</w:t>
            </w:r>
          </w:p>
        </w:tc>
        <w:tc>
          <w:tcPr>
            <w:tcW w:type="dxa" w:w="1984"/>
            <w:shd w:val="clear" w:color="auto" w:fill="F2F2F2"/>
          </w:tcPr>
          <w:p>
            <w:r>
              <w:rPr>
                <w:sz w:val="20"/>
              </w:rPr>
              <w:t>outputs/</w:t>
            </w:r>
          </w:p>
        </w:tc>
        <w:tc>
          <w:tcPr>
            <w:tcW w:type="dxa" w:w="3969"/>
            <w:shd w:val="clear" w:color="auto" w:fill="F2F2F2"/>
          </w:tcPr>
          <w:p>
            <w:r>
              <w:rPr>
                <w:sz w:val="20"/>
              </w:rPr>
              <w:t>5-year best hyperparameters (JSON)</w:t>
            </w:r>
          </w:p>
        </w:tc>
      </w:tr>
      <w:tr>
        <w:tc>
          <w:tcPr>
            <w:tcW w:type="dxa" w:w="3118"/>
          </w:tcPr>
          <w:p>
            <w:r>
              <w:rPr>
                <w:sz w:val="20"/>
              </w:rPr>
              <w:t>5yr_serial_model_results.xlsx</w:t>
            </w:r>
          </w:p>
        </w:tc>
        <w:tc>
          <w:tcPr>
            <w:tcW w:type="dxa" w:w="1984"/>
          </w:tcPr>
          <w:p>
            <w:r>
              <w:rPr>
                <w:sz w:val="20"/>
              </w:rPr>
              <w:t>outputs/</w:t>
            </w:r>
          </w:p>
        </w:tc>
        <w:tc>
          <w:tcPr>
            <w:tcW w:type="dxa" w:w="3969"/>
          </w:tcPr>
          <w:p>
            <w:r>
              <w:rPr>
                <w:sz w:val="20"/>
              </w:rPr>
              <w:t>Serial biopsy CV, bootstrap, hyperparameters</w:t>
            </w:r>
          </w:p>
        </w:tc>
      </w:tr>
      <w:tr>
        <w:tc>
          <w:tcPr>
            <w:tcW w:type="dxa" w:w="3118"/>
            <w:shd w:val="clear" w:color="auto" w:fill="F2F2F2"/>
          </w:tcPr>
          <w:p>
            <w:r>
              <w:rPr>
                <w:sz w:val="20"/>
              </w:rPr>
              <w:t>shap_importance_table.xlsx</w:t>
            </w:r>
          </w:p>
        </w:tc>
        <w:tc>
          <w:tcPr>
            <w:tcW w:type="dxa" w:w="1984"/>
            <w:shd w:val="clear" w:color="auto" w:fill="F2F2F2"/>
          </w:tcPr>
          <w:p>
            <w:r>
              <w:rPr>
                <w:sz w:val="20"/>
              </w:rPr>
              <w:t>outputs/</w:t>
            </w:r>
          </w:p>
        </w:tc>
        <w:tc>
          <w:tcPr>
            <w:tcW w:type="dxa" w:w="3969"/>
            <w:shd w:val="clear" w:color="auto" w:fill="F2F2F2"/>
          </w:tcPr>
          <w:p>
            <w:r>
              <w:rPr>
                <w:sz w:val="20"/>
              </w:rPr>
              <w:t>Mean |SHAP| per feature per model — 1-year</w:t>
            </w:r>
          </w:p>
        </w:tc>
      </w:tr>
      <w:tr>
        <w:tc>
          <w:tcPr>
            <w:tcW w:type="dxa" w:w="3118"/>
          </w:tcPr>
          <w:p>
            <w:r>
              <w:rPr>
                <w:sz w:val="20"/>
              </w:rPr>
              <w:t>shap_importance_table_5yr.xlsx</w:t>
            </w:r>
          </w:p>
        </w:tc>
        <w:tc>
          <w:tcPr>
            <w:tcW w:type="dxa" w:w="1984"/>
          </w:tcPr>
          <w:p>
            <w:r>
              <w:rPr>
                <w:sz w:val="20"/>
              </w:rPr>
              <w:t>outputs/</w:t>
            </w:r>
          </w:p>
        </w:tc>
        <w:tc>
          <w:tcPr>
            <w:tcW w:type="dxa" w:w="3969"/>
          </w:tcPr>
          <w:p>
            <w:r>
              <w:rPr>
                <w:sz w:val="20"/>
              </w:rPr>
              <w:t>Mean |SHAP| per feature per model — 5-year</w:t>
            </w:r>
          </w:p>
        </w:tc>
      </w:tr>
      <w:tr>
        <w:tc>
          <w:tcPr>
            <w:tcW w:type="dxa" w:w="3118"/>
            <w:shd w:val="clear" w:color="auto" w:fill="F2F2F2"/>
          </w:tcPr>
          <w:p>
            <w:r>
              <w:rPr>
                <w:sz w:val="20"/>
              </w:rPr>
              <w:t>delong_test_results.xlsx</w:t>
            </w:r>
          </w:p>
        </w:tc>
        <w:tc>
          <w:tcPr>
            <w:tcW w:type="dxa" w:w="1984"/>
            <w:shd w:val="clear" w:color="auto" w:fill="F2F2F2"/>
          </w:tcPr>
          <w:p>
            <w:r>
              <w:rPr>
                <w:sz w:val="20"/>
              </w:rPr>
              <w:t>outputs/</w:t>
            </w:r>
          </w:p>
        </w:tc>
        <w:tc>
          <w:tcPr>
            <w:tcW w:type="dxa" w:w="3969"/>
            <w:shd w:val="clear" w:color="auto" w:fill="F2F2F2"/>
          </w:tcPr>
          <w:p>
            <w:r>
              <w:rPr>
                <w:sz w:val="20"/>
              </w:rPr>
              <w:t>Pairwise DeLong's test, all flare cohorts (4 sheets)</w:t>
            </w:r>
          </w:p>
        </w:tc>
      </w:tr>
      <w:tr>
        <w:tc>
          <w:tcPr>
            <w:tcW w:type="dxa" w:w="3118"/>
          </w:tcPr>
          <w:p>
            <w:r>
              <w:rPr>
                <w:sz w:val="20"/>
              </w:rPr>
              <w:t>tabpfn_v3_all_cohorts.xlsx</w:t>
            </w:r>
          </w:p>
        </w:tc>
        <w:tc>
          <w:tcPr>
            <w:tcW w:type="dxa" w:w="1984"/>
          </w:tcPr>
          <w:p>
            <w:r>
              <w:rPr>
                <w:sz w:val="20"/>
              </w:rPr>
              <w:t>outputs/</w:t>
            </w:r>
          </w:p>
        </w:tc>
        <w:tc>
          <w:tcPr>
            <w:tcW w:type="dxa" w:w="3969"/>
          </w:tcPr>
          <w:p>
            <w:r>
              <w:rPr>
                <w:sz w:val="20"/>
              </w:rPr>
              <w:t>TabPFN v3 vs existing models — all 4 cohorts (4 sheets)</w:t>
            </w:r>
          </w:p>
        </w:tc>
      </w:tr>
      <w:tr>
        <w:tc>
          <w:tcPr>
            <w:tcW w:type="dxa" w:w="3118"/>
            <w:shd w:val="clear" w:color="auto" w:fill="F2F2F2"/>
          </w:tcPr>
          <w:p>
            <w:r>
              <w:rPr>
                <w:sz w:val="20"/>
              </w:rPr>
              <w:t>esrd_model_results.xlsx</w:t>
            </w:r>
          </w:p>
        </w:tc>
        <w:tc>
          <w:tcPr>
            <w:tcW w:type="dxa" w:w="1984"/>
            <w:shd w:val="clear" w:color="auto" w:fill="F2F2F2"/>
          </w:tcPr>
          <w:p>
            <w:r>
              <w:rPr>
                <w:sz w:val="20"/>
              </w:rPr>
              <w:t>outputs/esrd/</w:t>
            </w:r>
          </w:p>
        </w:tc>
        <w:tc>
          <w:tcPr>
            <w:tcW w:type="dxa" w:w="3969"/>
            <w:shd w:val="clear" w:color="auto" w:fill="F2F2F2"/>
          </w:tcPr>
          <w:p>
            <w:r>
              <w:rPr>
                <w:sz w:val="20"/>
              </w:rPr>
              <w:t>ESRD CV results — 5yr and 10yr (2 sheets)</w:t>
            </w:r>
          </w:p>
        </w:tc>
      </w:tr>
      <w:tr>
        <w:tc>
          <w:tcPr>
            <w:tcW w:type="dxa" w:w="3118"/>
          </w:tcPr>
          <w:p>
            <w:r>
              <w:rPr>
                <w:sz w:val="20"/>
              </w:rPr>
              <w:t>esrd_best_params.json</w:t>
            </w:r>
          </w:p>
        </w:tc>
        <w:tc>
          <w:tcPr>
            <w:tcW w:type="dxa" w:w="1984"/>
          </w:tcPr>
          <w:p>
            <w:r>
              <w:rPr>
                <w:sz w:val="20"/>
              </w:rPr>
              <w:t>outputs/esrd/</w:t>
            </w:r>
          </w:p>
        </w:tc>
        <w:tc>
          <w:tcPr>
            <w:tcW w:type="dxa" w:w="3969"/>
          </w:tcPr>
          <w:p>
            <w:r>
              <w:rPr>
                <w:sz w:val="20"/>
              </w:rPr>
              <w:t>ESRD best hyperparameters — 5yr and 10yr (JSON)</w:t>
            </w:r>
          </w:p>
        </w:tc>
      </w:tr>
      <w:tr>
        <w:tc>
          <w:tcPr>
            <w:tcW w:type="dxa" w:w="3118"/>
            <w:shd w:val="clear" w:color="auto" w:fill="F2F2F2"/>
          </w:tcPr>
          <w:p>
            <w:r>
              <w:rPr>
                <w:sz w:val="20"/>
              </w:rPr>
              <w:t>esrd_shap_table_5yr.xlsx</w:t>
            </w:r>
          </w:p>
        </w:tc>
        <w:tc>
          <w:tcPr>
            <w:tcW w:type="dxa" w:w="1984"/>
            <w:shd w:val="clear" w:color="auto" w:fill="F2F2F2"/>
          </w:tcPr>
          <w:p>
            <w:r>
              <w:rPr>
                <w:sz w:val="20"/>
              </w:rPr>
              <w:t>outputs/esrd/</w:t>
            </w:r>
          </w:p>
        </w:tc>
        <w:tc>
          <w:tcPr>
            <w:tcW w:type="dxa" w:w="3969"/>
            <w:shd w:val="clear" w:color="auto" w:fill="F2F2F2"/>
          </w:tcPr>
          <w:p>
            <w:r>
              <w:rPr>
                <w:sz w:val="20"/>
              </w:rPr>
              <w:t>Mean |SHAP| per feature — ESRD 5-year</w:t>
            </w:r>
          </w:p>
        </w:tc>
      </w:tr>
      <w:tr>
        <w:tc>
          <w:tcPr>
            <w:tcW w:type="dxa" w:w="3118"/>
          </w:tcPr>
          <w:p>
            <w:r>
              <w:rPr>
                <w:sz w:val="20"/>
              </w:rPr>
              <w:t>esrd_shap_table_10yr.xlsx</w:t>
            </w:r>
          </w:p>
        </w:tc>
        <w:tc>
          <w:tcPr>
            <w:tcW w:type="dxa" w:w="1984"/>
          </w:tcPr>
          <w:p>
            <w:r>
              <w:rPr>
                <w:sz w:val="20"/>
              </w:rPr>
              <w:t>outputs/esrd/</w:t>
            </w:r>
          </w:p>
        </w:tc>
        <w:tc>
          <w:tcPr>
            <w:tcW w:type="dxa" w:w="3969"/>
          </w:tcPr>
          <w:p>
            <w:r>
              <w:rPr>
                <w:sz w:val="20"/>
              </w:rPr>
              <w:t>Mean |SHAP| per feature — ESRD 10-year</w:t>
            </w:r>
          </w:p>
        </w:tc>
      </w:tr>
      <w:tr>
        <w:tc>
          <w:tcPr>
            <w:tcW w:type="dxa" w:w="3118"/>
            <w:shd w:val="clear" w:color="auto" w:fill="F2F2F2"/>
          </w:tcPr>
          <w:p>
            <w:r>
              <w:rPr>
                <w:sz w:val="20"/>
              </w:rPr>
              <w:t>esrd_delong_results.xlsx</w:t>
            </w:r>
          </w:p>
        </w:tc>
        <w:tc>
          <w:tcPr>
            <w:tcW w:type="dxa" w:w="1984"/>
            <w:shd w:val="clear" w:color="auto" w:fill="F2F2F2"/>
          </w:tcPr>
          <w:p>
            <w:r>
              <w:rPr>
                <w:sz w:val="20"/>
              </w:rPr>
              <w:t>outputs/esrd/</w:t>
            </w:r>
          </w:p>
        </w:tc>
        <w:tc>
          <w:tcPr>
            <w:tcW w:type="dxa" w:w="3969"/>
            <w:shd w:val="clear" w:color="auto" w:fill="F2F2F2"/>
          </w:tcPr>
          <w:p>
            <w:r>
              <w:rPr>
                <w:sz w:val="20"/>
              </w:rPr>
              <w:t>Pairwise DeLong's test — ESRD 5yr and 10yr</w:t>
            </w:r>
          </w:p>
        </w:tc>
      </w:tr>
    </w:tbl>
    <w:p/>
    <w:p>
      <w:pPr>
        <w:pStyle w:val="Heading2"/>
        <w:spacing w:before="160" w:after="80"/>
      </w:pPr>
      <w:r>
        <w:t>11.2 Scripts</w:t>
      </w:r>
    </w:p>
    <w:tbl>
      <w:tblPr>
        <w:tblStyle w:val="TableGrid"/>
        <w:tblW w:type="auto" w:w="0"/>
        <w:jc w:val="center"/>
        <w:tblLook w:firstColumn="1" w:firstRow="1" w:lastColumn="0" w:lastRow="0" w:noHBand="0" w:noVBand="1" w:val="04A0"/>
      </w:tblPr>
      <w:tblGrid>
        <w:gridCol w:w="4533"/>
        <w:gridCol w:w="4533"/>
      </w:tblGrid>
      <w:tr>
        <w:tc>
          <w:tcPr>
            <w:tcW w:type="dxa" w:w="3969"/>
            <w:shd w:val="clear" w:color="auto" w:fill="BDD7EE"/>
          </w:tcPr>
          <w:p>
            <w:r>
              <w:rPr>
                <w:b/>
                <w:sz w:val="20"/>
              </w:rPr>
              <w:t>Script</w:t>
            </w:r>
          </w:p>
        </w:tc>
        <w:tc>
          <w:tcPr>
            <w:tcW w:type="dxa" w:w="5102"/>
            <w:shd w:val="clear" w:color="auto" w:fill="BDD7EE"/>
          </w:tcPr>
          <w:p>
            <w:r>
              <w:rPr>
                <w:b/>
                <w:sz w:val="20"/>
              </w:rPr>
              <w:t>Purpose</w:t>
            </w:r>
          </w:p>
        </w:tc>
      </w:tr>
      <w:tr>
        <w:tc>
          <w:tcPr>
            <w:tcW w:type="dxa" w:w="3969"/>
          </w:tcPr>
          <w:p>
            <w:r>
              <w:rPr>
                <w:sz w:val="20"/>
              </w:rPr>
              <w:t>src/1_year/01_data_prep_1yr.py</w:t>
            </w:r>
          </w:p>
        </w:tc>
        <w:tc>
          <w:tcPr>
            <w:tcW w:type="dxa" w:w="5102"/>
          </w:tcPr>
          <w:p>
            <w:r>
              <w:rPr>
                <w:sz w:val="20"/>
              </w:rPr>
              <w:t>Filter raw data → 1-year cohort</w:t>
            </w:r>
          </w:p>
        </w:tc>
      </w:tr>
      <w:tr>
        <w:tc>
          <w:tcPr>
            <w:tcW w:type="dxa" w:w="3969"/>
            <w:shd w:val="clear" w:color="auto" w:fill="F2F2F2"/>
          </w:tcPr>
          <w:p>
            <w:r>
              <w:rPr>
                <w:sz w:val="20"/>
              </w:rPr>
              <w:t>src/1_year/03_missingness_1yr.py</w:t>
            </w:r>
          </w:p>
        </w:tc>
        <w:tc>
          <w:tcPr>
            <w:tcW w:type="dxa" w:w="5102"/>
            <w:shd w:val="clear" w:color="auto" w:fill="F2F2F2"/>
          </w:tcPr>
          <w:p>
            <w:r>
              <w:rPr>
                <w:sz w:val="20"/>
              </w:rPr>
              <w:t>Missingness summary</w:t>
            </w:r>
          </w:p>
        </w:tc>
      </w:tr>
      <w:tr>
        <w:tc>
          <w:tcPr>
            <w:tcW w:type="dxa" w:w="3969"/>
          </w:tcPr>
          <w:p>
            <w:r>
              <w:rPr>
                <w:sz w:val="20"/>
              </w:rPr>
              <w:t>src/1_year/04_mice_imputation_1yr.py</w:t>
            </w:r>
          </w:p>
        </w:tc>
        <w:tc>
          <w:tcPr>
            <w:tcW w:type="dxa" w:w="5102"/>
          </w:tcPr>
          <w:p>
            <w:r>
              <w:rPr>
                <w:sz w:val="20"/>
              </w:rPr>
              <w:t>MICE imputation (1-year)</w:t>
            </w:r>
          </w:p>
        </w:tc>
      </w:tr>
      <w:tr>
        <w:tc>
          <w:tcPr>
            <w:tcW w:type="dxa" w:w="3969"/>
            <w:shd w:val="clear" w:color="auto" w:fill="F2F2F2"/>
          </w:tcPr>
          <w:p>
            <w:r>
              <w:rPr>
                <w:sz w:val="20"/>
              </w:rPr>
              <w:t>src/1_year/05_feature_selection_1yr.py</w:t>
            </w:r>
          </w:p>
        </w:tc>
        <w:tc>
          <w:tcPr>
            <w:tcW w:type="dxa" w:w="5102"/>
            <w:shd w:val="clear" w:color="auto" w:fill="F2F2F2"/>
          </w:tcPr>
          <w:p>
            <w:r>
              <w:rPr>
                <w:sz w:val="20"/>
              </w:rPr>
              <w:t>Feature selection pipeline (1-year)</w:t>
            </w:r>
          </w:p>
        </w:tc>
      </w:tr>
      <w:tr>
        <w:tc>
          <w:tcPr>
            <w:tcW w:type="dxa" w:w="3969"/>
          </w:tcPr>
          <w:p>
            <w:r>
              <w:rPr>
                <w:sz w:val="20"/>
              </w:rPr>
              <w:t>src/1_year/06_modelling_1yr.py</w:t>
            </w:r>
          </w:p>
        </w:tc>
        <w:tc>
          <w:tcPr>
            <w:tcW w:type="dxa" w:w="5102"/>
          </w:tcPr>
          <w:p>
            <w:r>
              <w:rPr>
                <w:sz w:val="20"/>
              </w:rPr>
              <w:t>Tuning, 5×10-fold CV, Harrell bootstrap, plots (1-year)</w:t>
            </w:r>
          </w:p>
        </w:tc>
      </w:tr>
      <w:tr>
        <w:tc>
          <w:tcPr>
            <w:tcW w:type="dxa" w:w="3969"/>
            <w:shd w:val="clear" w:color="auto" w:fill="F2F2F2"/>
          </w:tcPr>
          <w:p>
            <w:r>
              <w:rPr>
                <w:sz w:val="20"/>
              </w:rPr>
              <w:t>src/1_year/07_shap_1yr.py</w:t>
            </w:r>
          </w:p>
        </w:tc>
        <w:tc>
          <w:tcPr>
            <w:tcW w:type="dxa" w:w="5102"/>
            <w:shd w:val="clear" w:color="auto" w:fill="F2F2F2"/>
          </w:tcPr>
          <w:p>
            <w:r>
              <w:rPr>
                <w:sz w:val="20"/>
              </w:rPr>
              <w:t>SHAP analysis — 1-year</w:t>
            </w:r>
          </w:p>
        </w:tc>
      </w:tr>
      <w:tr>
        <w:tc>
          <w:tcPr>
            <w:tcW w:type="dxa" w:w="3969"/>
          </w:tcPr>
          <w:p>
            <w:r>
              <w:rPr>
                <w:sz w:val="20"/>
              </w:rPr>
              <w:t>src/5_year/01_data_prep_5yr.py</w:t>
            </w:r>
          </w:p>
        </w:tc>
        <w:tc>
          <w:tcPr>
            <w:tcW w:type="dxa" w:w="5102"/>
          </w:tcPr>
          <w:p>
            <w:r>
              <w:rPr>
                <w:sz w:val="20"/>
              </w:rPr>
              <w:t>Filter raw data → 5-year cohort</w:t>
            </w:r>
          </w:p>
        </w:tc>
      </w:tr>
      <w:tr>
        <w:tc>
          <w:tcPr>
            <w:tcW w:type="dxa" w:w="3969"/>
            <w:shd w:val="clear" w:color="auto" w:fill="F2F2F2"/>
          </w:tcPr>
          <w:p>
            <w:r>
              <w:rPr>
                <w:sz w:val="20"/>
              </w:rPr>
              <w:t>src/5_year/03_mice_imputation_5yr.py</w:t>
            </w:r>
          </w:p>
        </w:tc>
        <w:tc>
          <w:tcPr>
            <w:tcW w:type="dxa" w:w="5102"/>
            <w:shd w:val="clear" w:color="auto" w:fill="F2F2F2"/>
          </w:tcPr>
          <w:p>
            <w:r>
              <w:rPr>
                <w:sz w:val="20"/>
              </w:rPr>
              <w:t>MICE imputation (5-year)</w:t>
            </w:r>
          </w:p>
        </w:tc>
      </w:tr>
      <w:tr>
        <w:tc>
          <w:tcPr>
            <w:tcW w:type="dxa" w:w="3969"/>
          </w:tcPr>
          <w:p>
            <w:r>
              <w:rPr>
                <w:sz w:val="20"/>
              </w:rPr>
              <w:t>src/5_year/04_feature_selection_5yr.py</w:t>
            </w:r>
          </w:p>
        </w:tc>
        <w:tc>
          <w:tcPr>
            <w:tcW w:type="dxa" w:w="5102"/>
          </w:tcPr>
          <w:p>
            <w:r>
              <w:rPr>
                <w:sz w:val="20"/>
              </w:rPr>
              <w:t>Feature selection pipeline (5-year)</w:t>
            </w:r>
          </w:p>
        </w:tc>
      </w:tr>
      <w:tr>
        <w:tc>
          <w:tcPr>
            <w:tcW w:type="dxa" w:w="3969"/>
            <w:shd w:val="clear" w:color="auto" w:fill="F2F2F2"/>
          </w:tcPr>
          <w:p>
            <w:r>
              <w:rPr>
                <w:sz w:val="20"/>
              </w:rPr>
              <w:t>src/5_year/05_modelling_5yr.py</w:t>
            </w:r>
          </w:p>
        </w:tc>
        <w:tc>
          <w:tcPr>
            <w:tcW w:type="dxa" w:w="5102"/>
            <w:shd w:val="clear" w:color="auto" w:fill="F2F2F2"/>
          </w:tcPr>
          <w:p>
            <w:r>
              <w:rPr>
                <w:sz w:val="20"/>
              </w:rPr>
              <w:t>Tuning, 5×10-fold CV, Harrell bootstrap, plots (5-year)</w:t>
            </w:r>
          </w:p>
        </w:tc>
      </w:tr>
      <w:tr>
        <w:tc>
          <w:tcPr>
            <w:tcW w:type="dxa" w:w="3969"/>
          </w:tcPr>
          <w:p>
            <w:r>
              <w:rPr>
                <w:sz w:val="20"/>
              </w:rPr>
              <w:t>src/5_year/06_shap_5yr.py</w:t>
            </w:r>
          </w:p>
        </w:tc>
        <w:tc>
          <w:tcPr>
            <w:tcW w:type="dxa" w:w="5102"/>
          </w:tcPr>
          <w:p>
            <w:r>
              <w:rPr>
                <w:sz w:val="20"/>
              </w:rPr>
              <w:t>SHAP analysis — 5-year</w:t>
            </w:r>
          </w:p>
        </w:tc>
      </w:tr>
      <w:tr>
        <w:tc>
          <w:tcPr>
            <w:tcW w:type="dxa" w:w="3969"/>
            <w:shd w:val="clear" w:color="auto" w:fill="F2F2F2"/>
          </w:tcPr>
          <w:p>
            <w:r>
              <w:rPr>
                <w:sz w:val="20"/>
              </w:rPr>
              <w:t>src/5_year/08_serial_biopsy_5yr.py</w:t>
            </w:r>
          </w:p>
        </w:tc>
        <w:tc>
          <w:tcPr>
            <w:tcW w:type="dxa" w:w="5102"/>
            <w:shd w:val="clear" w:color="auto" w:fill="F2F2F2"/>
          </w:tcPr>
          <w:p>
            <w:r>
              <w:rPr>
                <w:sz w:val="20"/>
              </w:rPr>
              <w:t>Construct serial biopsy dataset (DOB+gender proxy ID, delta features)</w:t>
            </w:r>
          </w:p>
        </w:tc>
      </w:tr>
      <w:tr>
        <w:tc>
          <w:tcPr>
            <w:tcW w:type="dxa" w:w="3969"/>
          </w:tcPr>
          <w:p>
            <w:r>
              <w:rPr>
                <w:sz w:val="20"/>
              </w:rPr>
              <w:t>src/5_year/09_serial_prep_5yr.py</w:t>
            </w:r>
          </w:p>
        </w:tc>
        <w:tc>
          <w:tcPr>
            <w:tcW w:type="dxa" w:w="5102"/>
          </w:tcPr>
          <w:p>
            <w:r>
              <w:rPr>
                <w:sz w:val="20"/>
              </w:rPr>
              <w:t>Drop cyclo, add time-normalised deltas</w:t>
            </w:r>
          </w:p>
        </w:tc>
      </w:tr>
      <w:tr>
        <w:tc>
          <w:tcPr>
            <w:tcW w:type="dxa" w:w="3969"/>
            <w:shd w:val="clear" w:color="auto" w:fill="F2F2F2"/>
          </w:tcPr>
          <w:p>
            <w:r>
              <w:rPr>
                <w:sz w:val="20"/>
              </w:rPr>
              <w:t>src/5_year/10_serial_feature_selection_5yr.py</w:t>
            </w:r>
          </w:p>
        </w:tc>
        <w:tc>
          <w:tcPr>
            <w:tcW w:type="dxa" w:w="5102"/>
            <w:shd w:val="clear" w:color="auto" w:fill="F2F2F2"/>
          </w:tcPr>
          <w:p>
            <w:r>
              <w:rPr>
                <w:sz w:val="20"/>
              </w:rPr>
              <w:t>Feature selection — serial biopsy (EPV_MAX=4)</w:t>
            </w:r>
          </w:p>
        </w:tc>
      </w:tr>
      <w:tr>
        <w:tc>
          <w:tcPr>
            <w:tcW w:type="dxa" w:w="3969"/>
          </w:tcPr>
          <w:p>
            <w:r>
              <w:rPr>
                <w:sz w:val="20"/>
              </w:rPr>
              <w:t>src/5_year/11_serial_modelling_5yr.py</w:t>
            </w:r>
          </w:p>
        </w:tc>
        <w:tc>
          <w:tcPr>
            <w:tcW w:type="dxa" w:w="5102"/>
          </w:tcPr>
          <w:p>
            <w:r>
              <w:rPr>
                <w:sz w:val="20"/>
              </w:rPr>
              <w:t>Tuning, 5×5-fold CV, Harrell bootstrap — serial biopsy</w:t>
            </w:r>
          </w:p>
        </w:tc>
      </w:tr>
      <w:tr>
        <w:tc>
          <w:tcPr>
            <w:tcW w:type="dxa" w:w="3969"/>
            <w:shd w:val="clear" w:color="auto" w:fill="F2F2F2"/>
          </w:tcPr>
          <w:p>
            <w:r>
              <w:rPr>
                <w:sz w:val="20"/>
              </w:rPr>
              <w:t>src/13_delong_test.py</w:t>
            </w:r>
          </w:p>
        </w:tc>
        <w:tc>
          <w:tcPr>
            <w:tcW w:type="dxa" w:w="5102"/>
            <w:shd w:val="clear" w:color="auto" w:fill="F2F2F2"/>
          </w:tcPr>
          <w:p>
            <w:r>
              <w:rPr>
                <w:sz w:val="20"/>
              </w:rPr>
              <w:t>Pairwise DeLong's test, all flare cohorts</w:t>
            </w:r>
          </w:p>
        </w:tc>
      </w:tr>
      <w:tr>
        <w:tc>
          <w:tcPr>
            <w:tcW w:type="dxa" w:w="3969"/>
          </w:tcPr>
          <w:p>
            <w:r>
              <w:rPr>
                <w:sz w:val="20"/>
              </w:rPr>
              <w:t>src/16_ensemble.py</w:t>
            </w:r>
          </w:p>
        </w:tc>
        <w:tc>
          <w:tcPr>
            <w:tcW w:type="dxa" w:w="5102"/>
          </w:tcPr>
          <w:p>
            <w:r>
              <w:rPr>
                <w:sz w:val="20"/>
              </w:rPr>
              <w:t>Ensemble model — 1-year and 5-year flare</w:t>
            </w:r>
          </w:p>
        </w:tc>
      </w:tr>
      <w:tr>
        <w:tc>
          <w:tcPr>
            <w:tcW w:type="dxa" w:w="3969"/>
            <w:shd w:val="clear" w:color="auto" w:fill="F2F2F2"/>
          </w:tcPr>
          <w:p>
            <w:r>
              <w:rPr>
                <w:sz w:val="20"/>
              </w:rPr>
              <w:t>src/16_tabpfn_v3_benchmark.py</w:t>
            </w:r>
          </w:p>
        </w:tc>
        <w:tc>
          <w:tcPr>
            <w:tcW w:type="dxa" w:w="5102"/>
            <w:shd w:val="clear" w:color="auto" w:fill="F2F2F2"/>
          </w:tcPr>
          <w:p>
            <w:r>
              <w:rPr>
                <w:sz w:val="20"/>
              </w:rPr>
              <w:t>TabPFN v3 benchmark (5×10-fold CV, all 4 cohorts)</w:t>
            </w:r>
          </w:p>
        </w:tc>
      </w:tr>
      <w:tr>
        <w:tc>
          <w:tcPr>
            <w:tcW w:type="dxa" w:w="3969"/>
          </w:tcPr>
          <w:p>
            <w:r>
              <w:rPr>
                <w:sz w:val="20"/>
              </w:rPr>
              <w:t>src/19_delong_pairwise.py</w:t>
            </w:r>
          </w:p>
        </w:tc>
        <w:tc>
          <w:tcPr>
            <w:tcW w:type="dxa" w:w="5102"/>
          </w:tcPr>
          <w:p>
            <w:r>
              <w:rPr>
                <w:sz w:val="20"/>
              </w:rPr>
              <w:t>Pairwise DeLong's test, pooled across cohorts</w:t>
            </w:r>
          </w:p>
        </w:tc>
      </w:tr>
      <w:tr>
        <w:tc>
          <w:tcPr>
            <w:tcW w:type="dxa" w:w="3969"/>
            <w:shd w:val="clear" w:color="auto" w:fill="F2F2F2"/>
          </w:tcPr>
          <w:p>
            <w:r>
              <w:rPr>
                <w:sz w:val="20"/>
              </w:rPr>
              <w:t>src/21_km_analysis.py</w:t>
            </w:r>
          </w:p>
        </w:tc>
        <w:tc>
          <w:tcPr>
            <w:tcW w:type="dxa" w:w="5102"/>
            <w:shd w:val="clear" w:color="auto" w:fill="F2F2F2"/>
          </w:tcPr>
          <w:p>
            <w:r>
              <w:rPr>
                <w:sz w:val="20"/>
              </w:rPr>
              <w:t>Kaplan-Meier survival analysis</w:t>
            </w:r>
          </w:p>
        </w:tc>
      </w:tr>
      <w:tr>
        <w:tc>
          <w:tcPr>
            <w:tcW w:type="dxa" w:w="3969"/>
          </w:tcPr>
          <w:p>
            <w:r>
              <w:rPr>
                <w:sz w:val="20"/>
              </w:rPr>
              <w:t>src/esrd/00_esrd_feature_selection.py</w:t>
            </w:r>
          </w:p>
        </w:tc>
        <w:tc>
          <w:tcPr>
            <w:tcW w:type="dxa" w:w="5102"/>
          </w:tcPr>
          <w:p>
            <w:r>
              <w:rPr>
                <w:sz w:val="20"/>
              </w:rPr>
              <w:t>MICE imputation + feature selection pipeline — ESRD</w:t>
            </w:r>
          </w:p>
        </w:tc>
      </w:tr>
      <w:tr>
        <w:tc>
          <w:tcPr>
            <w:tcW w:type="dxa" w:w="3969"/>
            <w:shd w:val="clear" w:color="auto" w:fill="F2F2F2"/>
          </w:tcPr>
          <w:p>
            <w:r>
              <w:rPr>
                <w:sz w:val="20"/>
              </w:rPr>
              <w:t>src/esrd/01_data_prep_esrd.py</w:t>
            </w:r>
          </w:p>
        </w:tc>
        <w:tc>
          <w:tcPr>
            <w:tcW w:type="dxa" w:w="5102"/>
            <w:shd w:val="clear" w:color="auto" w:fill="F2F2F2"/>
          </w:tcPr>
          <w:p>
            <w:r>
              <w:rPr>
                <w:sz w:val="20"/>
              </w:rPr>
              <w:t>ESRD cohort characterisation (index biopsies, exclusion breakdown)</w:t>
            </w:r>
          </w:p>
        </w:tc>
      </w:tr>
      <w:tr>
        <w:tc>
          <w:tcPr>
            <w:tcW w:type="dxa" w:w="3969"/>
          </w:tcPr>
          <w:p>
            <w:r>
              <w:rPr>
                <w:sz w:val="20"/>
              </w:rPr>
              <w:t>src/esrd/01_esrd_modelling.py</w:t>
            </w:r>
          </w:p>
        </w:tc>
        <w:tc>
          <w:tcPr>
            <w:tcW w:type="dxa" w:w="5102"/>
          </w:tcPr>
          <w:p>
            <w:r>
              <w:rPr>
                <w:sz w:val="20"/>
              </w:rPr>
              <w:t>ESRD tuning, 5×10-fold CV, ROC/calibration plots (5yr and 10yr)</w:t>
            </w:r>
          </w:p>
        </w:tc>
      </w:tr>
      <w:tr>
        <w:tc>
          <w:tcPr>
            <w:tcW w:type="dxa" w:w="3969"/>
            <w:shd w:val="clear" w:color="auto" w:fill="F2F2F2"/>
          </w:tcPr>
          <w:p>
            <w:r>
              <w:rPr>
                <w:sz w:val="20"/>
              </w:rPr>
              <w:t>src/esrd/02_esrd_shap.py</w:t>
            </w:r>
          </w:p>
        </w:tc>
        <w:tc>
          <w:tcPr>
            <w:tcW w:type="dxa" w:w="5102"/>
            <w:shd w:val="clear" w:color="auto" w:fill="F2F2F2"/>
          </w:tcPr>
          <w:p>
            <w:r>
              <w:rPr>
                <w:sz w:val="20"/>
              </w:rPr>
              <w:t>SHAP analysis — ESRD 5-year and 10-year</w:t>
            </w:r>
          </w:p>
        </w:tc>
      </w:tr>
      <w:tr>
        <w:tc>
          <w:tcPr>
            <w:tcW w:type="dxa" w:w="3969"/>
          </w:tcPr>
          <w:p>
            <w:r>
              <w:rPr>
                <w:sz w:val="20"/>
              </w:rPr>
              <w:t>src/esrd/03_esrd_delong.py</w:t>
            </w:r>
          </w:p>
        </w:tc>
        <w:tc>
          <w:tcPr>
            <w:tcW w:type="dxa" w:w="5102"/>
          </w:tcPr>
          <w:p>
            <w:r>
              <w:rPr>
                <w:sz w:val="20"/>
              </w:rPr>
              <w:t>Pairwise DeLong's test — ESRD</w:t>
            </w:r>
          </w:p>
        </w:tc>
      </w:tr>
      <w:tr>
        <w:tc>
          <w:tcPr>
            <w:tcW w:type="dxa" w:w="3969"/>
            <w:shd w:val="clear" w:color="auto" w:fill="F2F2F2"/>
          </w:tcPr>
          <w:p>
            <w:r>
              <w:rPr>
                <w:sz w:val="20"/>
              </w:rPr>
              <w:t>src/generate_methods_doc.py</w:t>
            </w:r>
          </w:p>
        </w:tc>
        <w:tc>
          <w:tcPr>
            <w:tcW w:type="dxa" w:w="5102"/>
            <w:shd w:val="clear" w:color="auto" w:fill="F2F2F2"/>
          </w:tcPr>
          <w:p>
            <w:r>
              <w:rPr>
                <w:sz w:val="20"/>
              </w:rPr>
              <w:t>Generate this document (python-docx)</w:t>
            </w:r>
          </w:p>
        </w:tc>
      </w:tr>
    </w:tbl>
    <w:p/>
    <w:p>
      <w:pPr>
        <w:pStyle w:val="Heading2"/>
        <w:spacing w:before="160" w:after="80"/>
      </w:pPr>
      <w:r>
        <w:t>11.3 Software</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val="clear" w:color="auto" w:fill="BDD7EE"/>
          </w:tcPr>
          <w:p>
            <w:r>
              <w:rPr>
                <w:b/>
                <w:sz w:val="20"/>
              </w:rPr>
              <w:t>Package</w:t>
            </w:r>
          </w:p>
        </w:tc>
        <w:tc>
          <w:tcPr>
            <w:tcW w:type="dxa" w:w="1701"/>
            <w:shd w:val="clear" w:color="auto" w:fill="BDD7EE"/>
          </w:tcPr>
          <w:p>
            <w:r>
              <w:rPr>
                <w:b/>
                <w:sz w:val="20"/>
              </w:rPr>
              <w:t>Version</w:t>
            </w:r>
          </w:p>
        </w:tc>
        <w:tc>
          <w:tcPr>
            <w:tcW w:type="dxa" w:w="5102"/>
            <w:shd w:val="clear" w:color="auto" w:fill="BDD7EE"/>
          </w:tcPr>
          <w:p>
            <w:r>
              <w:rPr>
                <w:b/>
                <w:sz w:val="20"/>
              </w:rPr>
              <w:t>Use</w:t>
            </w:r>
          </w:p>
        </w:tc>
      </w:tr>
      <w:tr>
        <w:tc>
          <w:tcPr>
            <w:tcW w:type="dxa" w:w="2268"/>
          </w:tcPr>
          <w:p>
            <w:r>
              <w:rPr>
                <w:sz w:val="20"/>
              </w:rPr>
              <w:t>Python</w:t>
            </w:r>
          </w:p>
        </w:tc>
        <w:tc>
          <w:tcPr>
            <w:tcW w:type="dxa" w:w="1701"/>
          </w:tcPr>
          <w:p>
            <w:r>
              <w:rPr>
                <w:sz w:val="20"/>
              </w:rPr>
              <w:t>3.9</w:t>
            </w:r>
          </w:p>
        </w:tc>
        <w:tc>
          <w:tcPr>
            <w:tcW w:type="dxa" w:w="5102"/>
          </w:tcPr>
          <w:p>
            <w:r>
              <w:rPr>
                <w:sz w:val="20"/>
              </w:rPr>
              <w:t>Language</w:t>
            </w:r>
          </w:p>
        </w:tc>
      </w:tr>
      <w:tr>
        <w:tc>
          <w:tcPr>
            <w:tcW w:type="dxa" w:w="2268"/>
            <w:shd w:val="clear" w:color="auto" w:fill="F2F2F2"/>
          </w:tcPr>
          <w:p>
            <w:r>
              <w:rPr>
                <w:sz w:val="20"/>
              </w:rPr>
              <w:t>pandas</w:t>
            </w:r>
          </w:p>
        </w:tc>
        <w:tc>
          <w:tcPr>
            <w:tcW w:type="dxa" w:w="1701"/>
            <w:shd w:val="clear" w:color="auto" w:fill="F2F2F2"/>
          </w:tcPr>
          <w:p>
            <w:r>
              <w:rPr>
                <w:sz w:val="20"/>
              </w:rPr>
              <w:t>—</w:t>
            </w:r>
          </w:p>
        </w:tc>
        <w:tc>
          <w:tcPr>
            <w:tcW w:type="dxa" w:w="5102"/>
            <w:shd w:val="clear" w:color="auto" w:fill="F2F2F2"/>
          </w:tcPr>
          <w:p>
            <w:r>
              <w:rPr>
                <w:sz w:val="20"/>
              </w:rPr>
              <w:t>Data manipulation</w:t>
            </w:r>
          </w:p>
        </w:tc>
      </w:tr>
      <w:tr>
        <w:tc>
          <w:tcPr>
            <w:tcW w:type="dxa" w:w="2268"/>
          </w:tcPr>
          <w:p>
            <w:r>
              <w:rPr>
                <w:sz w:val="20"/>
              </w:rPr>
              <w:t>scikit-learn</w:t>
            </w:r>
          </w:p>
        </w:tc>
        <w:tc>
          <w:tcPr>
            <w:tcW w:type="dxa" w:w="1701"/>
          </w:tcPr>
          <w:p>
            <w:r>
              <w:rPr>
                <w:sz w:val="20"/>
              </w:rPr>
              <w:t>1.6.1</w:t>
            </w:r>
          </w:p>
        </w:tc>
        <w:tc>
          <w:tcPr>
            <w:tcW w:type="dxa" w:w="5102"/>
          </w:tcPr>
          <w:p>
            <w:r>
              <w:rPr>
                <w:sz w:val="20"/>
              </w:rPr>
              <w:t>Preprocessing, MICE, LR, RF, CV, metrics</w:t>
            </w:r>
          </w:p>
        </w:tc>
      </w:tr>
      <w:tr>
        <w:tc>
          <w:tcPr>
            <w:tcW w:type="dxa" w:w="2268"/>
            <w:shd w:val="clear" w:color="auto" w:fill="F2F2F2"/>
          </w:tcPr>
          <w:p>
            <w:r>
              <w:rPr>
                <w:sz w:val="20"/>
              </w:rPr>
              <w:t>xgboost</w:t>
            </w:r>
          </w:p>
        </w:tc>
        <w:tc>
          <w:tcPr>
            <w:tcW w:type="dxa" w:w="1701"/>
            <w:shd w:val="clear" w:color="auto" w:fill="F2F2F2"/>
          </w:tcPr>
          <w:p>
            <w:r>
              <w:rPr>
                <w:sz w:val="20"/>
              </w:rPr>
              <w:t>2.1.4</w:t>
            </w:r>
          </w:p>
        </w:tc>
        <w:tc>
          <w:tcPr>
            <w:tcW w:type="dxa" w:w="5102"/>
            <w:shd w:val="clear" w:color="auto" w:fill="F2F2F2"/>
          </w:tcPr>
          <w:p>
            <w:r>
              <w:rPr>
                <w:sz w:val="20"/>
              </w:rPr>
              <w:t>Gradient boosting (XGBoost)</w:t>
            </w:r>
          </w:p>
        </w:tc>
      </w:tr>
      <w:tr>
        <w:tc>
          <w:tcPr>
            <w:tcW w:type="dxa" w:w="2268"/>
          </w:tcPr>
          <w:p>
            <w:r>
              <w:rPr>
                <w:sz w:val="20"/>
              </w:rPr>
              <w:t>lightgbm</w:t>
            </w:r>
          </w:p>
        </w:tc>
        <w:tc>
          <w:tcPr>
            <w:tcW w:type="dxa" w:w="1701"/>
          </w:tcPr>
          <w:p>
            <w:r>
              <w:rPr>
                <w:sz w:val="20"/>
              </w:rPr>
              <w:t>4.6.0</w:t>
            </w:r>
          </w:p>
        </w:tc>
        <w:tc>
          <w:tcPr>
            <w:tcW w:type="dxa" w:w="5102"/>
          </w:tcPr>
          <w:p>
            <w:r>
              <w:rPr>
                <w:sz w:val="20"/>
              </w:rPr>
              <w:t>Gradient boosting (LightGBM)</w:t>
            </w:r>
          </w:p>
        </w:tc>
      </w:tr>
      <w:tr>
        <w:tc>
          <w:tcPr>
            <w:tcW w:type="dxa" w:w="2268"/>
            <w:shd w:val="clear" w:color="auto" w:fill="F2F2F2"/>
          </w:tcPr>
          <w:p>
            <w:r>
              <w:rPr>
                <w:sz w:val="20"/>
              </w:rPr>
              <w:t>tabpfn_client</w:t>
            </w:r>
          </w:p>
        </w:tc>
        <w:tc>
          <w:tcPr>
            <w:tcW w:type="dxa" w:w="1701"/>
            <w:shd w:val="clear" w:color="auto" w:fill="F2F2F2"/>
          </w:tcPr>
          <w:p>
            <w:r>
              <w:rPr>
                <w:sz w:val="20"/>
              </w:rPr>
              <w:t>0.3.1</w:t>
            </w:r>
          </w:p>
        </w:tc>
        <w:tc>
          <w:tcPr>
            <w:tcW w:type="dxa" w:w="5102"/>
            <w:shd w:val="clear" w:color="auto" w:fill="F2F2F2"/>
          </w:tcPr>
          <w:p>
            <w:r>
              <w:rPr>
                <w:sz w:val="20"/>
              </w:rPr>
              <w:t>TabPFN v3 in-context learning benchmark (hosted API, Prior Labs)</w:t>
            </w:r>
          </w:p>
        </w:tc>
      </w:tr>
      <w:tr>
        <w:tc>
          <w:tcPr>
            <w:tcW w:type="dxa" w:w="2268"/>
          </w:tcPr>
          <w:p>
            <w:r>
              <w:rPr>
                <w:sz w:val="20"/>
              </w:rPr>
              <w:t>shap</w:t>
            </w:r>
          </w:p>
        </w:tc>
        <w:tc>
          <w:tcPr>
            <w:tcW w:type="dxa" w:w="1701"/>
          </w:tcPr>
          <w:p>
            <w:r>
              <w:rPr>
                <w:sz w:val="20"/>
              </w:rPr>
              <w:t>0.49.1</w:t>
            </w:r>
          </w:p>
        </w:tc>
        <w:tc>
          <w:tcPr>
            <w:tcW w:type="dxa" w:w="5102"/>
          </w:tcPr>
          <w:p>
            <w:r>
              <w:rPr>
                <w:sz w:val="20"/>
              </w:rPr>
              <w:t>SHAP explainability</w:t>
            </w:r>
          </w:p>
        </w:tc>
      </w:tr>
      <w:tr>
        <w:tc>
          <w:tcPr>
            <w:tcW w:type="dxa" w:w="2268"/>
            <w:shd w:val="clear" w:color="auto" w:fill="F2F2F2"/>
          </w:tcPr>
          <w:p>
            <w:r>
              <w:rPr>
                <w:sz w:val="20"/>
              </w:rPr>
              <w:t>statsmodels</w:t>
            </w:r>
          </w:p>
        </w:tc>
        <w:tc>
          <w:tcPr>
            <w:tcW w:type="dxa" w:w="1701"/>
            <w:shd w:val="clear" w:color="auto" w:fill="F2F2F2"/>
          </w:tcPr>
          <w:p>
            <w:r>
              <w:rPr>
                <w:sz w:val="20"/>
              </w:rPr>
              <w:t>—</w:t>
            </w:r>
          </w:p>
        </w:tc>
        <w:tc>
          <w:tcPr>
            <w:tcW w:type="dxa" w:w="5102"/>
            <w:shd w:val="clear" w:color="auto" w:fill="F2F2F2"/>
          </w:tcPr>
          <w:p>
            <w:r>
              <w:rPr>
                <w:sz w:val="20"/>
              </w:rPr>
              <w:t>VIF calculation</w:t>
            </w:r>
          </w:p>
        </w:tc>
      </w:tr>
      <w:tr>
        <w:tc>
          <w:tcPr>
            <w:tcW w:type="dxa" w:w="2268"/>
          </w:tcPr>
          <w:p>
            <w:r>
              <w:rPr>
                <w:sz w:val="20"/>
              </w:rPr>
              <w:t>scipy</w:t>
            </w:r>
          </w:p>
        </w:tc>
        <w:tc>
          <w:tcPr>
            <w:tcW w:type="dxa" w:w="1701"/>
          </w:tcPr>
          <w:p>
            <w:r>
              <w:rPr>
                <w:sz w:val="20"/>
              </w:rPr>
              <w:t>—</w:t>
            </w:r>
          </w:p>
        </w:tc>
        <w:tc>
          <w:tcPr>
            <w:tcW w:type="dxa" w:w="5102"/>
          </w:tcPr>
          <w:p>
            <w:r>
              <w:rPr>
                <w:sz w:val="20"/>
              </w:rPr>
              <w:t>DeLong's test (normal distribution)</w:t>
            </w:r>
          </w:p>
        </w:tc>
      </w:tr>
      <w:tr>
        <w:tc>
          <w:tcPr>
            <w:tcW w:type="dxa" w:w="2268"/>
            <w:shd w:val="clear" w:color="auto" w:fill="F2F2F2"/>
          </w:tcPr>
          <w:p>
            <w:r>
              <w:rPr>
                <w:sz w:val="20"/>
              </w:rPr>
              <w:t>matplotlib</w:t>
            </w:r>
          </w:p>
        </w:tc>
        <w:tc>
          <w:tcPr>
            <w:tcW w:type="dxa" w:w="1701"/>
            <w:shd w:val="clear" w:color="auto" w:fill="F2F2F2"/>
          </w:tcPr>
          <w:p>
            <w:r>
              <w:rPr>
                <w:sz w:val="20"/>
              </w:rPr>
              <w:t>3.9.4</w:t>
            </w:r>
          </w:p>
        </w:tc>
        <w:tc>
          <w:tcPr>
            <w:tcW w:type="dxa" w:w="5102"/>
            <w:shd w:val="clear" w:color="auto" w:fill="F2F2F2"/>
          </w:tcPr>
          <w:p>
            <w:r>
              <w:rPr>
                <w:sz w:val="20"/>
              </w:rPr>
              <w:t>Plotting</w:t>
            </w:r>
          </w:p>
        </w:tc>
      </w:tr>
      <w:tr>
        <w:tc>
          <w:tcPr>
            <w:tcW w:type="dxa" w:w="2268"/>
          </w:tcPr>
          <w:p>
            <w:r>
              <w:rPr>
                <w:sz w:val="20"/>
              </w:rPr>
              <w:t>openpyxl</w:t>
            </w:r>
          </w:p>
        </w:tc>
        <w:tc>
          <w:tcPr>
            <w:tcW w:type="dxa" w:w="1701"/>
          </w:tcPr>
          <w:p>
            <w:r>
              <w:rPr>
                <w:sz w:val="20"/>
              </w:rPr>
              <w:t>3.1.5</w:t>
            </w:r>
          </w:p>
        </w:tc>
        <w:tc>
          <w:tcPr>
            <w:tcW w:type="dxa" w:w="5102"/>
          </w:tcPr>
          <w:p>
            <w:r>
              <w:rPr>
                <w:sz w:val="20"/>
              </w:rPr>
              <w:t>Excel I/O</w:t>
            </w:r>
          </w:p>
        </w:tc>
      </w:tr>
      <w:tr>
        <w:tc>
          <w:tcPr>
            <w:tcW w:type="dxa" w:w="2268"/>
            <w:shd w:val="clear" w:color="auto" w:fill="F2F2F2"/>
          </w:tcPr>
          <w:p>
            <w:r>
              <w:rPr>
                <w:sz w:val="20"/>
              </w:rPr>
              <w:t>python-docx</w:t>
            </w:r>
          </w:p>
        </w:tc>
        <w:tc>
          <w:tcPr>
            <w:tcW w:type="dxa" w:w="1701"/>
            <w:shd w:val="clear" w:color="auto" w:fill="F2F2F2"/>
          </w:tcPr>
          <w:p>
            <w:r>
              <w:rPr>
                <w:sz w:val="20"/>
              </w:rPr>
              <w:t>—</w:t>
            </w:r>
          </w:p>
        </w:tc>
        <w:tc>
          <w:tcPr>
            <w:tcW w:type="dxa" w:w="5102"/>
            <w:shd w:val="clear" w:color="auto" w:fill="F2F2F2"/>
          </w:tcPr>
          <w:p>
            <w:r>
              <w:rPr>
                <w:sz w:val="20"/>
              </w:rPr>
              <w:t>Word document generation</w:t>
            </w:r>
          </w:p>
        </w:tc>
      </w:tr>
    </w:tbl>
    <w:p/>
    <w:p>
      <w:pPr>
        <w:pStyle w:val="Heading1"/>
        <w:spacing w:before="280" w:after="80"/>
      </w:pPr>
      <w:r>
        <w:t>12. Limitations</w:t>
      </w:r>
    </w:p>
    <w:p>
      <w:pPr>
        <w:pStyle w:val="Heading2"/>
        <w:spacing w:before="160" w:after="80"/>
      </w:pPr>
      <w:r>
        <w:t>12.1 Sample Size (src/22_pmsampsize.py)</w:t>
      </w:r>
    </w:p>
    <w:p>
      <w:pPr>
        <w:spacing w:after="120"/>
      </w:pPr>
      <w:r>
        <w:t>Feature selection throughout this pipeline was constrained by the Events Per Variable (EPV-10) heuristic (Section 4.2): the maximum number of predictors was capped at floor(events / 10) for each cohort. EPV-10 is a widely used rule of thumb, but it is a coarse heuristic that ignores the anticipated discriminative ability of the model. To obtain a more rigorous, model-specific estimate of whether each cohort's sample size was adequate, the closed-form minimum sample size criteria of Riley et al. 2020 (BMJ 368:m441) were applied post hoc to each cohort, using its final predictor count, observed event prevalence, and its own optimism-adjusted (bias-corrected) Logistic Regression AUROC as the anticipated C-statistic (LR is the paper's designated primary model, and Riley et al. recommend an optimism-adjusted C-statistic for this purpose).</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2268"/>
            <w:shd w:val="clear" w:color="auto" w:fill="BDD7EE"/>
          </w:tcPr>
          <w:p>
            <w:r>
              <w:rPr>
                <w:b/>
                <w:sz w:val="20"/>
              </w:rPr>
              <w:t>Cohort</w:t>
            </w:r>
          </w:p>
        </w:tc>
        <w:tc>
          <w:tcPr>
            <w:tcW w:type="dxa" w:w="850"/>
            <w:shd w:val="clear" w:color="auto" w:fill="BDD7EE"/>
          </w:tcPr>
          <w:p>
            <w:r>
              <w:rPr>
                <w:b/>
                <w:sz w:val="20"/>
              </w:rPr>
              <w:t>p</w:t>
            </w:r>
          </w:p>
        </w:tc>
        <w:tc>
          <w:tcPr>
            <w:tcW w:type="dxa" w:w="1701"/>
            <w:shd w:val="clear" w:color="auto" w:fill="BDD7EE"/>
          </w:tcPr>
          <w:p>
            <w:r>
              <w:rPr>
                <w:b/>
                <w:sz w:val="20"/>
              </w:rPr>
              <w:t>C-stat (LR, BC)</w:t>
            </w:r>
          </w:p>
        </w:tc>
        <w:tc>
          <w:tcPr>
            <w:tcW w:type="dxa" w:w="1417"/>
            <w:shd w:val="clear" w:color="auto" w:fill="BDD7EE"/>
          </w:tcPr>
          <w:p>
            <w:r>
              <w:rPr>
                <w:b/>
                <w:sz w:val="20"/>
              </w:rPr>
              <w:t>n required</w:t>
            </w:r>
          </w:p>
        </w:tc>
        <w:tc>
          <w:tcPr>
            <w:tcW w:type="dxa" w:w="1417"/>
            <w:shd w:val="clear" w:color="auto" w:fill="BDD7EE"/>
          </w:tcPr>
          <w:p>
            <w:r>
              <w:rPr>
                <w:b/>
                <w:sz w:val="20"/>
              </w:rPr>
              <w:t>n actual</w:t>
            </w:r>
          </w:p>
        </w:tc>
        <w:tc>
          <w:tcPr>
            <w:tcW w:type="dxa" w:w="1417"/>
            <w:shd w:val="clear" w:color="auto" w:fill="BDD7EE"/>
          </w:tcPr>
          <w:p>
            <w:r>
              <w:rPr>
                <w:b/>
                <w:sz w:val="20"/>
              </w:rPr>
              <w:t>EPV actual</w:t>
            </w:r>
          </w:p>
        </w:tc>
        <w:tc>
          <w:tcPr>
            <w:tcW w:type="dxa" w:w="1417"/>
            <w:shd w:val="clear" w:color="auto" w:fill="BDD7EE"/>
          </w:tcPr>
          <w:p>
            <w:r>
              <w:rPr>
                <w:b/>
                <w:sz w:val="20"/>
              </w:rPr>
              <w:t>Adequate?</w:t>
            </w:r>
          </w:p>
        </w:tc>
      </w:tr>
      <w:tr>
        <w:tc>
          <w:tcPr>
            <w:tcW w:type="dxa" w:w="2268"/>
          </w:tcPr>
          <w:p>
            <w:r>
              <w:rPr>
                <w:sz w:val="20"/>
              </w:rPr>
              <w:t>1-Year flare</w:t>
            </w:r>
          </w:p>
        </w:tc>
        <w:tc>
          <w:tcPr>
            <w:tcW w:type="dxa" w:w="850"/>
          </w:tcPr>
          <w:p>
            <w:r>
              <w:rPr>
                <w:sz w:val="20"/>
              </w:rPr>
              <w:t>9</w:t>
            </w:r>
          </w:p>
        </w:tc>
        <w:tc>
          <w:tcPr>
            <w:tcW w:type="dxa" w:w="1701"/>
          </w:tcPr>
          <w:p>
            <w:r>
              <w:rPr>
                <w:sz w:val="20"/>
              </w:rPr>
              <w:t>0.709</w:t>
            </w:r>
          </w:p>
        </w:tc>
        <w:tc>
          <w:tcPr>
            <w:tcW w:type="dxa" w:w="1417"/>
          </w:tcPr>
          <w:p>
            <w:r>
              <w:rPr>
                <w:sz w:val="20"/>
              </w:rPr>
              <w:t>795</w:t>
            </w:r>
          </w:p>
        </w:tc>
        <w:tc>
          <w:tcPr>
            <w:tcW w:type="dxa" w:w="1417"/>
          </w:tcPr>
          <w:p>
            <w:r>
              <w:rPr>
                <w:sz w:val="20"/>
              </w:rPr>
              <w:t>430</w:t>
            </w:r>
          </w:p>
        </w:tc>
        <w:tc>
          <w:tcPr>
            <w:tcW w:type="dxa" w:w="1417"/>
          </w:tcPr>
          <w:p>
            <w:r>
              <w:rPr>
                <w:sz w:val="20"/>
              </w:rPr>
              <w:t>11.00</w:t>
            </w:r>
          </w:p>
        </w:tc>
        <w:tc>
          <w:tcPr>
            <w:tcW w:type="dxa" w:w="1417"/>
          </w:tcPr>
          <w:p>
            <w:r>
              <w:rPr>
                <w:sz w:val="20"/>
              </w:rPr>
              <w:t>No</w:t>
            </w:r>
          </w:p>
        </w:tc>
      </w:tr>
      <w:tr>
        <w:tc>
          <w:tcPr>
            <w:tcW w:type="dxa" w:w="2268"/>
            <w:shd w:val="clear" w:color="auto" w:fill="F2F2F2"/>
          </w:tcPr>
          <w:p>
            <w:r>
              <w:rPr>
                <w:sz w:val="20"/>
              </w:rPr>
              <w:t>5-Year flare</w:t>
            </w:r>
          </w:p>
        </w:tc>
        <w:tc>
          <w:tcPr>
            <w:tcW w:type="dxa" w:w="850"/>
            <w:shd w:val="clear" w:color="auto" w:fill="F2F2F2"/>
          </w:tcPr>
          <w:p>
            <w:r>
              <w:rPr>
                <w:sz w:val="20"/>
              </w:rPr>
              <w:t>10</w:t>
            </w:r>
          </w:p>
        </w:tc>
        <w:tc>
          <w:tcPr>
            <w:tcW w:type="dxa" w:w="1701"/>
            <w:shd w:val="clear" w:color="auto" w:fill="F2F2F2"/>
          </w:tcPr>
          <w:p>
            <w:r>
              <w:rPr>
                <w:sz w:val="20"/>
              </w:rPr>
              <w:t>0.670</w:t>
            </w:r>
          </w:p>
        </w:tc>
        <w:tc>
          <w:tcPr>
            <w:tcW w:type="dxa" w:w="1417"/>
            <w:shd w:val="clear" w:color="auto" w:fill="F2F2F2"/>
          </w:tcPr>
          <w:p>
            <w:r>
              <w:rPr>
                <w:sz w:val="20"/>
              </w:rPr>
              <w:t>976</w:t>
            </w:r>
          </w:p>
        </w:tc>
        <w:tc>
          <w:tcPr>
            <w:tcW w:type="dxa" w:w="1417"/>
            <w:shd w:val="clear" w:color="auto" w:fill="F2F2F2"/>
          </w:tcPr>
          <w:p>
            <w:r>
              <w:rPr>
                <w:sz w:val="20"/>
              </w:rPr>
              <w:t>356</w:t>
            </w:r>
          </w:p>
        </w:tc>
        <w:tc>
          <w:tcPr>
            <w:tcW w:type="dxa" w:w="1417"/>
            <w:shd w:val="clear" w:color="auto" w:fill="F2F2F2"/>
          </w:tcPr>
          <w:p>
            <w:r>
              <w:rPr>
                <w:sz w:val="20"/>
              </w:rPr>
              <w:t>16.60</w:t>
            </w:r>
          </w:p>
        </w:tc>
        <w:tc>
          <w:tcPr>
            <w:tcW w:type="dxa" w:w="1417"/>
            <w:shd w:val="clear" w:color="auto" w:fill="F2F2F2"/>
          </w:tcPr>
          <w:p>
            <w:r>
              <w:rPr>
                <w:sz w:val="20"/>
              </w:rPr>
              <w:t>No</w:t>
            </w:r>
          </w:p>
        </w:tc>
      </w:tr>
      <w:tr>
        <w:tc>
          <w:tcPr>
            <w:tcW w:type="dxa" w:w="2268"/>
          </w:tcPr>
          <w:p>
            <w:r>
              <w:rPr>
                <w:sz w:val="20"/>
              </w:rPr>
              <w:t>Serial biopsy</w:t>
            </w:r>
          </w:p>
        </w:tc>
        <w:tc>
          <w:tcPr>
            <w:tcW w:type="dxa" w:w="850"/>
          </w:tcPr>
          <w:p>
            <w:r>
              <w:rPr>
                <w:sz w:val="20"/>
              </w:rPr>
              <w:t>2</w:t>
            </w:r>
          </w:p>
        </w:tc>
        <w:tc>
          <w:tcPr>
            <w:tcW w:type="dxa" w:w="1701"/>
          </w:tcPr>
          <w:p>
            <w:r>
              <w:rPr>
                <w:sz w:val="20"/>
              </w:rPr>
              <w:t>0.660</w:t>
            </w:r>
          </w:p>
        </w:tc>
        <w:tc>
          <w:tcPr>
            <w:tcW w:type="dxa" w:w="1417"/>
          </w:tcPr>
          <w:p>
            <w:r>
              <w:rPr>
                <w:sz w:val="20"/>
              </w:rPr>
              <w:t>384</w:t>
            </w:r>
          </w:p>
        </w:tc>
        <w:tc>
          <w:tcPr>
            <w:tcW w:type="dxa" w:w="1417"/>
          </w:tcPr>
          <w:p>
            <w:r>
              <w:rPr>
                <w:sz w:val="20"/>
              </w:rPr>
              <w:t>70</w:t>
            </w:r>
          </w:p>
        </w:tc>
        <w:tc>
          <w:tcPr>
            <w:tcW w:type="dxa" w:w="1417"/>
          </w:tcPr>
          <w:p>
            <w:r>
              <w:rPr>
                <w:sz w:val="20"/>
              </w:rPr>
              <w:t>17.00</w:t>
            </w:r>
          </w:p>
        </w:tc>
        <w:tc>
          <w:tcPr>
            <w:tcW w:type="dxa" w:w="1417"/>
          </w:tcPr>
          <w:p>
            <w:r>
              <w:rPr>
                <w:sz w:val="20"/>
              </w:rPr>
              <w:t>No</w:t>
            </w:r>
          </w:p>
        </w:tc>
      </w:tr>
      <w:tr>
        <w:tc>
          <w:tcPr>
            <w:tcW w:type="dxa" w:w="2268"/>
            <w:shd w:val="clear" w:color="auto" w:fill="F2F2F2"/>
          </w:tcPr>
          <w:p>
            <w:r>
              <w:rPr>
                <w:sz w:val="20"/>
              </w:rPr>
              <w:t>ESRD 5-Year</w:t>
            </w:r>
          </w:p>
        </w:tc>
        <w:tc>
          <w:tcPr>
            <w:tcW w:type="dxa" w:w="850"/>
            <w:shd w:val="clear" w:color="auto" w:fill="F2F2F2"/>
          </w:tcPr>
          <w:p>
            <w:r>
              <w:rPr>
                <w:sz w:val="20"/>
              </w:rPr>
              <w:t>5</w:t>
            </w:r>
          </w:p>
        </w:tc>
        <w:tc>
          <w:tcPr>
            <w:tcW w:type="dxa" w:w="1701"/>
            <w:shd w:val="clear" w:color="auto" w:fill="F2F2F2"/>
          </w:tcPr>
          <w:p>
            <w:r>
              <w:rPr>
                <w:sz w:val="20"/>
              </w:rPr>
              <w:t>0.797</w:t>
            </w:r>
          </w:p>
        </w:tc>
        <w:tc>
          <w:tcPr>
            <w:tcW w:type="dxa" w:w="1417"/>
            <w:shd w:val="clear" w:color="auto" w:fill="F2F2F2"/>
          </w:tcPr>
          <w:p>
            <w:r>
              <w:rPr>
                <w:sz w:val="20"/>
              </w:rPr>
              <w:t>294</w:t>
            </w:r>
          </w:p>
        </w:tc>
        <w:tc>
          <w:tcPr>
            <w:tcW w:type="dxa" w:w="1417"/>
            <w:shd w:val="clear" w:color="auto" w:fill="F2F2F2"/>
          </w:tcPr>
          <w:p>
            <w:r>
              <w:rPr>
                <w:sz w:val="20"/>
              </w:rPr>
              <w:t>796</w:t>
            </w:r>
          </w:p>
        </w:tc>
        <w:tc>
          <w:tcPr>
            <w:tcW w:type="dxa" w:w="1417"/>
            <w:shd w:val="clear" w:color="auto" w:fill="F2F2F2"/>
          </w:tcPr>
          <w:p>
            <w:r>
              <w:rPr>
                <w:sz w:val="20"/>
              </w:rPr>
              <w:t>22.40</w:t>
            </w:r>
          </w:p>
        </w:tc>
        <w:tc>
          <w:tcPr>
            <w:tcW w:type="dxa" w:w="1417"/>
            <w:shd w:val="clear" w:color="auto" w:fill="F2F2F2"/>
          </w:tcPr>
          <w:p>
            <w:r>
              <w:rPr>
                <w:sz w:val="20"/>
              </w:rPr>
              <w:t>Yes</w:t>
            </w:r>
          </w:p>
        </w:tc>
      </w:tr>
      <w:tr>
        <w:tc>
          <w:tcPr>
            <w:tcW w:type="dxa" w:w="2268"/>
          </w:tcPr>
          <w:p>
            <w:r>
              <w:rPr>
                <w:sz w:val="20"/>
              </w:rPr>
              <w:t>ESRD 10-Year</w:t>
            </w:r>
          </w:p>
        </w:tc>
        <w:tc>
          <w:tcPr>
            <w:tcW w:type="dxa" w:w="850"/>
          </w:tcPr>
          <w:p>
            <w:r>
              <w:rPr>
                <w:sz w:val="20"/>
              </w:rPr>
              <w:t>17</w:t>
            </w:r>
          </w:p>
        </w:tc>
        <w:tc>
          <w:tcPr>
            <w:tcW w:type="dxa" w:w="1701"/>
          </w:tcPr>
          <w:p>
            <w:r>
              <w:rPr>
                <w:sz w:val="20"/>
              </w:rPr>
              <w:t>0.817</w:t>
            </w:r>
          </w:p>
        </w:tc>
        <w:tc>
          <w:tcPr>
            <w:tcW w:type="dxa" w:w="1417"/>
          </w:tcPr>
          <w:p>
            <w:r>
              <w:rPr>
                <w:sz w:val="20"/>
              </w:rPr>
              <w:t>620</w:t>
            </w:r>
          </w:p>
        </w:tc>
        <w:tc>
          <w:tcPr>
            <w:tcW w:type="dxa" w:w="1417"/>
          </w:tcPr>
          <w:p>
            <w:r>
              <w:rPr>
                <w:sz w:val="20"/>
              </w:rPr>
              <w:t>796</w:t>
            </w:r>
          </w:p>
        </w:tc>
        <w:tc>
          <w:tcPr>
            <w:tcW w:type="dxa" w:w="1417"/>
          </w:tcPr>
          <w:p>
            <w:r>
              <w:rPr>
                <w:sz w:val="20"/>
              </w:rPr>
              <w:t>10.29</w:t>
            </w:r>
          </w:p>
        </w:tc>
        <w:tc>
          <w:tcPr>
            <w:tcW w:type="dxa" w:w="1417"/>
          </w:tcPr>
          <w:p>
            <w:r>
              <w:rPr>
                <w:sz w:val="20"/>
              </w:rPr>
              <w:t>Yes</w:t>
            </w:r>
          </w:p>
        </w:tc>
      </w:tr>
    </w:tbl>
    <w:p/>
    <w:p>
      <w:pPr>
        <w:spacing w:after="120"/>
      </w:pPr>
      <w:r>
        <w:t>EPV-10 and Riley's formal criteria disagree for the three flare cohorts: all three are underpowered by pmsampsize despite meeting or exceeding EPV-10 (1-year EPV=11.00, 5-year EPV=16.60, serial EPV=17.00), because their lower discrimination (C-statistic 0.660–0.709) requires substantially more events to control overfitting and estimate the intercept precisely. Both ESRD cohorts are formally adequate by these criteria — notably, ESRD 10-year passes despite an EPV of only 10.29, since its higher discrimination (C=0.817) needs proportionally fewer events. This indicates the true sample-size shortfall in the flare cohorts, and particularly the serial biopsy sub-analysis, is real and larger than the EPV-10 heuristic alone suggests; results from these three cohorts should be interpreted as hypothesis-generating rather than confirmatory. The ESRD 5-year and 10-year analyses are adequately powered by both the EPV-10 heuristic and the more rigorous Riley et al. criteria.</w:t>
      </w:r>
    </w:p>
    <w:p>
      <w:pPr>
        <w:pStyle w:val="Heading2"/>
        <w:spacing w:before="160" w:after="80"/>
      </w:pPr>
      <w:r>
        <w:t>12.2 EPV Cap Sensitivity (src/23_epv5_sensitivity.py)</w:t>
      </w:r>
    </w:p>
    <w:p>
      <w:pPr>
        <w:spacing w:after="120"/>
      </w:pPr>
      <w:r>
        <w:t>As a direct test of whether the EPV-10 feature cap was materially constraining model performance, the automated LASSO-capped feature selection (Section 4.1, steps 3a-6) was rerun with the cap relaxed to an EPV-5 rule for the two most constrained cohorts (1-year flare and serial biopsy), and the same tuning + CV protocol was applied to the resulting feature sets. This reruns only the automated selection — it does not reproduce the manual post-selection clinical corrections described in Sections 4.3/4.5, so the feature lists and resulting AUROCs below differ from the published final models; the purpose here is only to isolate the marginal effect of the cap itself.</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701"/>
            <w:shd w:val="clear" w:color="auto" w:fill="BDD7EE"/>
          </w:tcPr>
          <w:p>
            <w:r>
              <w:rPr>
                <w:b/>
                <w:sz w:val="20"/>
              </w:rPr>
              <w:t>Cohort</w:t>
            </w:r>
          </w:p>
        </w:tc>
        <w:tc>
          <w:tcPr>
            <w:tcW w:type="dxa" w:w="1984"/>
            <w:shd w:val="clear" w:color="auto" w:fill="BDD7EE"/>
          </w:tcPr>
          <w:p>
            <w:r>
              <w:rPr>
                <w:b/>
                <w:sz w:val="20"/>
              </w:rPr>
              <w:t>Cap</w:t>
            </w:r>
          </w:p>
        </w:tc>
        <w:tc>
          <w:tcPr>
            <w:tcW w:type="dxa" w:w="1134"/>
            <w:shd w:val="clear" w:color="auto" w:fill="BDD7EE"/>
          </w:tcPr>
          <w:p>
            <w:r>
              <w:rPr>
                <w:b/>
                <w:sz w:val="20"/>
              </w:rPr>
              <w:t>N features</w:t>
            </w:r>
          </w:p>
        </w:tc>
        <w:tc>
          <w:tcPr>
            <w:tcW w:type="dxa" w:w="1984"/>
            <w:shd w:val="clear" w:color="auto" w:fill="BDD7EE"/>
          </w:tcPr>
          <w:p>
            <w:r>
              <w:rPr>
                <w:b/>
                <w:sz w:val="20"/>
              </w:rPr>
              <w:t>Model</w:t>
            </w:r>
          </w:p>
        </w:tc>
        <w:tc>
          <w:tcPr>
            <w:tcW w:type="dxa" w:w="1134"/>
            <w:shd w:val="clear" w:color="auto" w:fill="BDD7EE"/>
          </w:tcPr>
          <w:p>
            <w:r>
              <w:rPr>
                <w:b/>
                <w:sz w:val="20"/>
              </w:rPr>
              <w:t>CV AUROC</w:t>
            </w:r>
          </w:p>
        </w:tc>
        <w:tc>
          <w:tcPr>
            <w:tcW w:type="dxa" w:w="1134"/>
            <w:shd w:val="clear" w:color="auto" w:fill="BDD7EE"/>
          </w:tcPr>
          <w:p>
            <w:r>
              <w:rPr>
                <w:b/>
                <w:sz w:val="20"/>
              </w:rPr>
              <w:t>CV Brier</w:t>
            </w:r>
          </w:p>
        </w:tc>
        <w:tc>
          <w:tcPr>
            <w:tcW w:type="dxa" w:w="1417"/>
            <w:shd w:val="clear" w:color="auto" w:fill="BDD7EE"/>
          </w:tcPr>
          <w:p>
            <w:r>
              <w:rPr>
                <w:b/>
                <w:sz w:val="20"/>
              </w:rPr>
              <w:t>CV Cal Slope</w:t>
            </w:r>
          </w:p>
        </w:tc>
      </w:tr>
      <w:tr>
        <w:tc>
          <w:tcPr>
            <w:tcW w:type="dxa" w:w="1701"/>
          </w:tcPr>
          <w:p>
            <w:r>
              <w:rPr>
                <w:sz w:val="20"/>
              </w:rPr>
              <w:t>1-Year flare</w:t>
            </w:r>
          </w:p>
        </w:tc>
        <w:tc>
          <w:tcPr>
            <w:tcW w:type="dxa" w:w="1984"/>
          </w:tcPr>
          <w:p>
            <w:r>
              <w:rPr>
                <w:sz w:val="20"/>
              </w:rPr>
              <w:t>EPV-10 (cap=12)</w:t>
            </w:r>
          </w:p>
        </w:tc>
        <w:tc>
          <w:tcPr>
            <w:tcW w:type="dxa" w:w="1134"/>
          </w:tcPr>
          <w:p>
            <w:r>
              <w:rPr>
                <w:sz w:val="20"/>
              </w:rPr>
              <w:t>12</w:t>
            </w:r>
          </w:p>
        </w:tc>
        <w:tc>
          <w:tcPr>
            <w:tcW w:type="dxa" w:w="1984"/>
          </w:tcPr>
          <w:p>
            <w:r>
              <w:rPr>
                <w:sz w:val="20"/>
              </w:rPr>
              <w:t>Logistic Regression</w:t>
            </w:r>
          </w:p>
        </w:tc>
        <w:tc>
          <w:tcPr>
            <w:tcW w:type="dxa" w:w="1134"/>
          </w:tcPr>
          <w:p>
            <w:r>
              <w:rPr>
                <w:sz w:val="20"/>
              </w:rPr>
              <w:t>0.702</w:t>
            </w:r>
          </w:p>
        </w:tc>
        <w:tc>
          <w:tcPr>
            <w:tcW w:type="dxa" w:w="1134"/>
          </w:tcPr>
          <w:p>
            <w:r>
              <w:rPr>
                <w:sz w:val="20"/>
              </w:rPr>
              <w:t>0.219</w:t>
            </w:r>
          </w:p>
        </w:tc>
        <w:tc>
          <w:tcPr>
            <w:tcW w:type="dxa" w:w="1417"/>
          </w:tcPr>
          <w:p>
            <w:r>
              <w:rPr>
                <w:sz w:val="20"/>
              </w:rPr>
              <w:t>0.640</w:t>
            </w:r>
          </w:p>
        </w:tc>
      </w:tr>
      <w:tr>
        <w:tc>
          <w:tcPr>
            <w:tcW w:type="dxa" w:w="1701"/>
            <w:shd w:val="clear" w:color="auto" w:fill="F2F2F2"/>
          </w:tcPr>
          <w:p>
            <w:r>
              <w:rPr>
                <w:sz w:val="20"/>
              </w:rPr>
              <w:t>1-Year flare</w:t>
            </w:r>
          </w:p>
        </w:tc>
        <w:tc>
          <w:tcPr>
            <w:tcW w:type="dxa" w:w="1984"/>
            <w:shd w:val="clear" w:color="auto" w:fill="F2F2F2"/>
          </w:tcPr>
          <w:p>
            <w:r>
              <w:rPr>
                <w:sz w:val="20"/>
              </w:rPr>
              <w:t>EPV-10 (cap=12)</w:t>
            </w:r>
          </w:p>
        </w:tc>
        <w:tc>
          <w:tcPr>
            <w:tcW w:type="dxa" w:w="1134"/>
            <w:shd w:val="clear" w:color="auto" w:fill="F2F2F2"/>
          </w:tcPr>
          <w:p>
            <w:r>
              <w:rPr>
                <w:sz w:val="20"/>
              </w:rPr>
              <w:t>12</w:t>
            </w:r>
          </w:p>
        </w:tc>
        <w:tc>
          <w:tcPr>
            <w:tcW w:type="dxa" w:w="1984"/>
            <w:shd w:val="clear" w:color="auto" w:fill="F2F2F2"/>
          </w:tcPr>
          <w:p>
            <w:r>
              <w:rPr>
                <w:sz w:val="20"/>
              </w:rPr>
              <w:t>Random Forest</w:t>
            </w:r>
          </w:p>
        </w:tc>
        <w:tc>
          <w:tcPr>
            <w:tcW w:type="dxa" w:w="1134"/>
            <w:shd w:val="clear" w:color="auto" w:fill="F2F2F2"/>
          </w:tcPr>
          <w:p>
            <w:r>
              <w:rPr>
                <w:sz w:val="20"/>
              </w:rPr>
              <w:t>0.691</w:t>
            </w:r>
          </w:p>
        </w:tc>
        <w:tc>
          <w:tcPr>
            <w:tcW w:type="dxa" w:w="1134"/>
            <w:shd w:val="clear" w:color="auto" w:fill="F2F2F2"/>
          </w:tcPr>
          <w:p>
            <w:r>
              <w:rPr>
                <w:sz w:val="20"/>
              </w:rPr>
              <w:t>0.187</w:t>
            </w:r>
          </w:p>
        </w:tc>
        <w:tc>
          <w:tcPr>
            <w:tcW w:type="dxa" w:w="1417"/>
            <w:shd w:val="clear" w:color="auto" w:fill="F2F2F2"/>
          </w:tcPr>
          <w:p>
            <w:r>
              <w:rPr>
                <w:sz w:val="20"/>
              </w:rPr>
              <w:t>0.719</w:t>
            </w:r>
          </w:p>
        </w:tc>
      </w:tr>
      <w:tr>
        <w:tc>
          <w:tcPr>
            <w:tcW w:type="dxa" w:w="1701"/>
          </w:tcPr>
          <w:p>
            <w:r>
              <w:rPr>
                <w:sz w:val="20"/>
              </w:rPr>
              <w:t>1-Year flare</w:t>
            </w:r>
          </w:p>
        </w:tc>
        <w:tc>
          <w:tcPr>
            <w:tcW w:type="dxa" w:w="1984"/>
          </w:tcPr>
          <w:p>
            <w:r>
              <w:rPr>
                <w:sz w:val="20"/>
              </w:rPr>
              <w:t>EPV-10 (cap=12)</w:t>
            </w:r>
          </w:p>
        </w:tc>
        <w:tc>
          <w:tcPr>
            <w:tcW w:type="dxa" w:w="1134"/>
          </w:tcPr>
          <w:p>
            <w:r>
              <w:rPr>
                <w:sz w:val="20"/>
              </w:rPr>
              <w:t>12</w:t>
            </w:r>
          </w:p>
        </w:tc>
        <w:tc>
          <w:tcPr>
            <w:tcW w:type="dxa" w:w="1984"/>
          </w:tcPr>
          <w:p>
            <w:r>
              <w:rPr>
                <w:sz w:val="20"/>
              </w:rPr>
              <w:t>XGBoost</w:t>
            </w:r>
          </w:p>
        </w:tc>
        <w:tc>
          <w:tcPr>
            <w:tcW w:type="dxa" w:w="1134"/>
          </w:tcPr>
          <w:p>
            <w:r>
              <w:rPr>
                <w:sz w:val="20"/>
              </w:rPr>
              <w:t>0.684</w:t>
            </w:r>
          </w:p>
        </w:tc>
        <w:tc>
          <w:tcPr>
            <w:tcW w:type="dxa" w:w="1134"/>
          </w:tcPr>
          <w:p>
            <w:r>
              <w:rPr>
                <w:sz w:val="20"/>
              </w:rPr>
              <w:t>0.236</w:t>
            </w:r>
          </w:p>
        </w:tc>
        <w:tc>
          <w:tcPr>
            <w:tcW w:type="dxa" w:w="1417"/>
          </w:tcPr>
          <w:p>
            <w:r>
              <w:rPr>
                <w:sz w:val="20"/>
              </w:rPr>
              <w:t>0.506</w:t>
            </w:r>
          </w:p>
        </w:tc>
      </w:tr>
      <w:tr>
        <w:tc>
          <w:tcPr>
            <w:tcW w:type="dxa" w:w="1701"/>
            <w:shd w:val="clear" w:color="auto" w:fill="F2F2F2"/>
          </w:tcPr>
          <w:p>
            <w:r>
              <w:rPr>
                <w:sz w:val="20"/>
              </w:rPr>
              <w:t>1-Year flare</w:t>
            </w:r>
          </w:p>
        </w:tc>
        <w:tc>
          <w:tcPr>
            <w:tcW w:type="dxa" w:w="1984"/>
            <w:shd w:val="clear" w:color="auto" w:fill="F2F2F2"/>
          </w:tcPr>
          <w:p>
            <w:r>
              <w:rPr>
                <w:sz w:val="20"/>
              </w:rPr>
              <w:t>EPV-10 (cap=12)</w:t>
            </w:r>
          </w:p>
        </w:tc>
        <w:tc>
          <w:tcPr>
            <w:tcW w:type="dxa" w:w="1134"/>
            <w:shd w:val="clear" w:color="auto" w:fill="F2F2F2"/>
          </w:tcPr>
          <w:p>
            <w:r>
              <w:rPr>
                <w:sz w:val="20"/>
              </w:rPr>
              <w:t>12</w:t>
            </w:r>
          </w:p>
        </w:tc>
        <w:tc>
          <w:tcPr>
            <w:tcW w:type="dxa" w:w="1984"/>
            <w:shd w:val="clear" w:color="auto" w:fill="F2F2F2"/>
          </w:tcPr>
          <w:p>
            <w:r>
              <w:rPr>
                <w:sz w:val="20"/>
              </w:rPr>
              <w:t>LightGBM</w:t>
            </w:r>
          </w:p>
        </w:tc>
        <w:tc>
          <w:tcPr>
            <w:tcW w:type="dxa" w:w="1134"/>
            <w:shd w:val="clear" w:color="auto" w:fill="F2F2F2"/>
          </w:tcPr>
          <w:p>
            <w:r>
              <w:rPr>
                <w:sz w:val="20"/>
              </w:rPr>
              <w:t>0.664</w:t>
            </w:r>
          </w:p>
        </w:tc>
        <w:tc>
          <w:tcPr>
            <w:tcW w:type="dxa" w:w="1134"/>
            <w:shd w:val="clear" w:color="auto" w:fill="F2F2F2"/>
          </w:tcPr>
          <w:p>
            <w:r>
              <w:rPr>
                <w:sz w:val="20"/>
              </w:rPr>
              <w:t>0.219</w:t>
            </w:r>
          </w:p>
        </w:tc>
        <w:tc>
          <w:tcPr>
            <w:tcW w:type="dxa" w:w="1417"/>
            <w:shd w:val="clear" w:color="auto" w:fill="F2F2F2"/>
          </w:tcPr>
          <w:p>
            <w:r>
              <w:rPr>
                <w:sz w:val="20"/>
              </w:rPr>
              <w:t>0.753</w:t>
            </w:r>
          </w:p>
        </w:tc>
      </w:tr>
      <w:tr>
        <w:tc>
          <w:tcPr>
            <w:tcW w:type="dxa" w:w="1701"/>
          </w:tcPr>
          <w:p>
            <w:r>
              <w:rPr>
                <w:sz w:val="20"/>
              </w:rPr>
              <w:t>1-Year flare</w:t>
            </w:r>
          </w:p>
        </w:tc>
        <w:tc>
          <w:tcPr>
            <w:tcW w:type="dxa" w:w="1984"/>
          </w:tcPr>
          <w:p>
            <w:r>
              <w:rPr>
                <w:sz w:val="20"/>
              </w:rPr>
              <w:t>EPV-5 (cap=19)</w:t>
            </w:r>
          </w:p>
        </w:tc>
        <w:tc>
          <w:tcPr>
            <w:tcW w:type="dxa" w:w="1134"/>
          </w:tcPr>
          <w:p>
            <w:r>
              <w:rPr>
                <w:sz w:val="20"/>
              </w:rPr>
              <w:t>19</w:t>
            </w:r>
          </w:p>
        </w:tc>
        <w:tc>
          <w:tcPr>
            <w:tcW w:type="dxa" w:w="1984"/>
          </w:tcPr>
          <w:p>
            <w:r>
              <w:rPr>
                <w:sz w:val="20"/>
              </w:rPr>
              <w:t>Logistic Regression</w:t>
            </w:r>
          </w:p>
        </w:tc>
        <w:tc>
          <w:tcPr>
            <w:tcW w:type="dxa" w:w="1134"/>
          </w:tcPr>
          <w:p>
            <w:r>
              <w:rPr>
                <w:sz w:val="20"/>
              </w:rPr>
              <w:t>0.681</w:t>
            </w:r>
          </w:p>
        </w:tc>
        <w:tc>
          <w:tcPr>
            <w:tcW w:type="dxa" w:w="1134"/>
          </w:tcPr>
          <w:p>
            <w:r>
              <w:rPr>
                <w:sz w:val="20"/>
              </w:rPr>
              <w:t>0.225</w:t>
            </w:r>
          </w:p>
        </w:tc>
        <w:tc>
          <w:tcPr>
            <w:tcW w:type="dxa" w:w="1417"/>
          </w:tcPr>
          <w:p>
            <w:r>
              <w:rPr>
                <w:sz w:val="20"/>
              </w:rPr>
              <w:t>0.535</w:t>
            </w:r>
          </w:p>
        </w:tc>
      </w:tr>
      <w:tr>
        <w:tc>
          <w:tcPr>
            <w:tcW w:type="dxa" w:w="1701"/>
            <w:shd w:val="clear" w:color="auto" w:fill="F2F2F2"/>
          </w:tcPr>
          <w:p>
            <w:r>
              <w:rPr>
                <w:sz w:val="20"/>
              </w:rPr>
              <w:t>1-Year flare</w:t>
            </w:r>
          </w:p>
        </w:tc>
        <w:tc>
          <w:tcPr>
            <w:tcW w:type="dxa" w:w="1984"/>
            <w:shd w:val="clear" w:color="auto" w:fill="F2F2F2"/>
          </w:tcPr>
          <w:p>
            <w:r>
              <w:rPr>
                <w:sz w:val="20"/>
              </w:rPr>
              <w:t>EPV-5 (cap=19)</w:t>
            </w:r>
          </w:p>
        </w:tc>
        <w:tc>
          <w:tcPr>
            <w:tcW w:type="dxa" w:w="1134"/>
            <w:shd w:val="clear" w:color="auto" w:fill="F2F2F2"/>
          </w:tcPr>
          <w:p>
            <w:r>
              <w:rPr>
                <w:sz w:val="20"/>
              </w:rPr>
              <w:t>19</w:t>
            </w:r>
          </w:p>
        </w:tc>
        <w:tc>
          <w:tcPr>
            <w:tcW w:type="dxa" w:w="1984"/>
            <w:shd w:val="clear" w:color="auto" w:fill="F2F2F2"/>
          </w:tcPr>
          <w:p>
            <w:r>
              <w:rPr>
                <w:sz w:val="20"/>
              </w:rPr>
              <w:t>Random Forest</w:t>
            </w:r>
          </w:p>
        </w:tc>
        <w:tc>
          <w:tcPr>
            <w:tcW w:type="dxa" w:w="1134"/>
            <w:shd w:val="clear" w:color="auto" w:fill="F2F2F2"/>
          </w:tcPr>
          <w:p>
            <w:r>
              <w:rPr>
                <w:sz w:val="20"/>
              </w:rPr>
              <w:t>0.731</w:t>
            </w:r>
          </w:p>
        </w:tc>
        <w:tc>
          <w:tcPr>
            <w:tcW w:type="dxa" w:w="1134"/>
            <w:shd w:val="clear" w:color="auto" w:fill="F2F2F2"/>
          </w:tcPr>
          <w:p>
            <w:r>
              <w:rPr>
                <w:sz w:val="20"/>
              </w:rPr>
              <w:t>0.175</w:t>
            </w:r>
          </w:p>
        </w:tc>
        <w:tc>
          <w:tcPr>
            <w:tcW w:type="dxa" w:w="1417"/>
            <w:shd w:val="clear" w:color="auto" w:fill="F2F2F2"/>
          </w:tcPr>
          <w:p>
            <w:r>
              <w:rPr>
                <w:sz w:val="20"/>
              </w:rPr>
              <w:t>0.855</w:t>
            </w:r>
          </w:p>
        </w:tc>
      </w:tr>
      <w:tr>
        <w:tc>
          <w:tcPr>
            <w:tcW w:type="dxa" w:w="1701"/>
          </w:tcPr>
          <w:p>
            <w:r>
              <w:rPr>
                <w:sz w:val="20"/>
              </w:rPr>
              <w:t>1-Year flare</w:t>
            </w:r>
          </w:p>
        </w:tc>
        <w:tc>
          <w:tcPr>
            <w:tcW w:type="dxa" w:w="1984"/>
          </w:tcPr>
          <w:p>
            <w:r>
              <w:rPr>
                <w:sz w:val="20"/>
              </w:rPr>
              <w:t>EPV-5 (cap=19)</w:t>
            </w:r>
          </w:p>
        </w:tc>
        <w:tc>
          <w:tcPr>
            <w:tcW w:type="dxa" w:w="1134"/>
          </w:tcPr>
          <w:p>
            <w:r>
              <w:rPr>
                <w:sz w:val="20"/>
              </w:rPr>
              <w:t>19</w:t>
            </w:r>
          </w:p>
        </w:tc>
        <w:tc>
          <w:tcPr>
            <w:tcW w:type="dxa" w:w="1984"/>
          </w:tcPr>
          <w:p>
            <w:r>
              <w:rPr>
                <w:sz w:val="20"/>
              </w:rPr>
              <w:t>XGBoost</w:t>
            </w:r>
          </w:p>
        </w:tc>
        <w:tc>
          <w:tcPr>
            <w:tcW w:type="dxa" w:w="1134"/>
          </w:tcPr>
          <w:p>
            <w:r>
              <w:rPr>
                <w:sz w:val="20"/>
              </w:rPr>
              <w:t>0.720</w:t>
            </w:r>
          </w:p>
        </w:tc>
        <w:tc>
          <w:tcPr>
            <w:tcW w:type="dxa" w:w="1134"/>
          </w:tcPr>
          <w:p>
            <w:r>
              <w:rPr>
                <w:sz w:val="20"/>
              </w:rPr>
              <w:t>0.223</w:t>
            </w:r>
          </w:p>
        </w:tc>
        <w:tc>
          <w:tcPr>
            <w:tcW w:type="dxa" w:w="1417"/>
          </w:tcPr>
          <w:p>
            <w:r>
              <w:rPr>
                <w:sz w:val="20"/>
              </w:rPr>
              <w:t>0.886</w:t>
            </w:r>
          </w:p>
        </w:tc>
      </w:tr>
      <w:tr>
        <w:tc>
          <w:tcPr>
            <w:tcW w:type="dxa" w:w="1701"/>
            <w:shd w:val="clear" w:color="auto" w:fill="F2F2F2"/>
          </w:tcPr>
          <w:p>
            <w:r>
              <w:rPr>
                <w:sz w:val="20"/>
              </w:rPr>
              <w:t>1-Year flare</w:t>
            </w:r>
          </w:p>
        </w:tc>
        <w:tc>
          <w:tcPr>
            <w:tcW w:type="dxa" w:w="1984"/>
            <w:shd w:val="clear" w:color="auto" w:fill="F2F2F2"/>
          </w:tcPr>
          <w:p>
            <w:r>
              <w:rPr>
                <w:sz w:val="20"/>
              </w:rPr>
              <w:t>EPV-5 (cap=19)</w:t>
            </w:r>
          </w:p>
        </w:tc>
        <w:tc>
          <w:tcPr>
            <w:tcW w:type="dxa" w:w="1134"/>
            <w:shd w:val="clear" w:color="auto" w:fill="F2F2F2"/>
          </w:tcPr>
          <w:p>
            <w:r>
              <w:rPr>
                <w:sz w:val="20"/>
              </w:rPr>
              <w:t>19</w:t>
            </w:r>
          </w:p>
        </w:tc>
        <w:tc>
          <w:tcPr>
            <w:tcW w:type="dxa" w:w="1984"/>
            <w:shd w:val="clear" w:color="auto" w:fill="F2F2F2"/>
          </w:tcPr>
          <w:p>
            <w:r>
              <w:rPr>
                <w:sz w:val="20"/>
              </w:rPr>
              <w:t>LightGBM</w:t>
            </w:r>
          </w:p>
        </w:tc>
        <w:tc>
          <w:tcPr>
            <w:tcW w:type="dxa" w:w="1134"/>
            <w:shd w:val="clear" w:color="auto" w:fill="F2F2F2"/>
          </w:tcPr>
          <w:p>
            <w:r>
              <w:rPr>
                <w:sz w:val="20"/>
              </w:rPr>
              <w:t>0.715</w:t>
            </w:r>
          </w:p>
        </w:tc>
        <w:tc>
          <w:tcPr>
            <w:tcW w:type="dxa" w:w="1134"/>
            <w:shd w:val="clear" w:color="auto" w:fill="F2F2F2"/>
          </w:tcPr>
          <w:p>
            <w:r>
              <w:rPr>
                <w:sz w:val="20"/>
              </w:rPr>
              <w:t>0.186</w:t>
            </w:r>
          </w:p>
        </w:tc>
        <w:tc>
          <w:tcPr>
            <w:tcW w:type="dxa" w:w="1417"/>
            <w:shd w:val="clear" w:color="auto" w:fill="F2F2F2"/>
          </w:tcPr>
          <w:p>
            <w:r>
              <w:rPr>
                <w:sz w:val="20"/>
              </w:rPr>
              <w:t>0.722</w:t>
            </w:r>
          </w:p>
        </w:tc>
      </w:tr>
      <w:tr>
        <w:tc>
          <w:tcPr>
            <w:tcW w:type="dxa" w:w="1701"/>
          </w:tcPr>
          <w:p>
            <w:r>
              <w:rPr>
                <w:sz w:val="20"/>
              </w:rPr>
              <w:t>Serial biopsy</w:t>
            </w:r>
          </w:p>
        </w:tc>
        <w:tc>
          <w:tcPr>
            <w:tcW w:type="dxa" w:w="1984"/>
          </w:tcPr>
          <w:p>
            <w:r>
              <w:rPr>
                <w:sz w:val="20"/>
              </w:rPr>
              <w:t>EPV-10 (cap=4)</w:t>
            </w:r>
          </w:p>
        </w:tc>
        <w:tc>
          <w:tcPr>
            <w:tcW w:type="dxa" w:w="1134"/>
          </w:tcPr>
          <w:p>
            <w:r>
              <w:rPr>
                <w:sz w:val="20"/>
              </w:rPr>
              <w:t>2</w:t>
            </w:r>
          </w:p>
        </w:tc>
        <w:tc>
          <w:tcPr>
            <w:tcW w:type="dxa" w:w="1984"/>
          </w:tcPr>
          <w:p>
            <w:r>
              <w:rPr>
                <w:sz w:val="20"/>
              </w:rPr>
              <w:t>Logistic Regression</w:t>
            </w:r>
          </w:p>
        </w:tc>
        <w:tc>
          <w:tcPr>
            <w:tcW w:type="dxa" w:w="1134"/>
          </w:tcPr>
          <w:p>
            <w:r>
              <w:rPr>
                <w:sz w:val="20"/>
              </w:rPr>
              <w:t>0.676</w:t>
            </w:r>
          </w:p>
        </w:tc>
        <w:tc>
          <w:tcPr>
            <w:tcW w:type="dxa" w:w="1134"/>
          </w:tcPr>
          <w:p>
            <w:r>
              <w:rPr>
                <w:sz w:val="20"/>
              </w:rPr>
              <w:t>0.235</w:t>
            </w:r>
          </w:p>
        </w:tc>
        <w:tc>
          <w:tcPr>
            <w:tcW w:type="dxa" w:w="1417"/>
          </w:tcPr>
          <w:p>
            <w:r>
              <w:rPr>
                <w:sz w:val="20"/>
              </w:rPr>
              <w:t>0.570</w:t>
            </w:r>
          </w:p>
        </w:tc>
      </w:tr>
      <w:tr>
        <w:tc>
          <w:tcPr>
            <w:tcW w:type="dxa" w:w="1701"/>
            <w:shd w:val="clear" w:color="auto" w:fill="F2F2F2"/>
          </w:tcPr>
          <w:p>
            <w:r>
              <w:rPr>
                <w:sz w:val="20"/>
              </w:rPr>
              <w:t>Serial biopsy</w:t>
            </w:r>
          </w:p>
        </w:tc>
        <w:tc>
          <w:tcPr>
            <w:tcW w:type="dxa" w:w="1984"/>
            <w:shd w:val="clear" w:color="auto" w:fill="F2F2F2"/>
          </w:tcPr>
          <w:p>
            <w:r>
              <w:rPr>
                <w:sz w:val="20"/>
              </w:rPr>
              <w:t>EPV-10 (cap=4)</w:t>
            </w:r>
          </w:p>
        </w:tc>
        <w:tc>
          <w:tcPr>
            <w:tcW w:type="dxa" w:w="1134"/>
            <w:shd w:val="clear" w:color="auto" w:fill="F2F2F2"/>
          </w:tcPr>
          <w:p>
            <w:r>
              <w:rPr>
                <w:sz w:val="20"/>
              </w:rPr>
              <w:t>2</w:t>
            </w:r>
          </w:p>
        </w:tc>
        <w:tc>
          <w:tcPr>
            <w:tcW w:type="dxa" w:w="1984"/>
            <w:shd w:val="clear" w:color="auto" w:fill="F2F2F2"/>
          </w:tcPr>
          <w:p>
            <w:r>
              <w:rPr>
                <w:sz w:val="20"/>
              </w:rPr>
              <w:t>Random Forest</w:t>
            </w:r>
          </w:p>
        </w:tc>
        <w:tc>
          <w:tcPr>
            <w:tcW w:type="dxa" w:w="1134"/>
            <w:shd w:val="clear" w:color="auto" w:fill="F2F2F2"/>
          </w:tcPr>
          <w:p>
            <w:r>
              <w:rPr>
                <w:sz w:val="20"/>
              </w:rPr>
              <w:t>0.629</w:t>
            </w:r>
          </w:p>
        </w:tc>
        <w:tc>
          <w:tcPr>
            <w:tcW w:type="dxa" w:w="1134"/>
            <w:shd w:val="clear" w:color="auto" w:fill="F2F2F2"/>
          </w:tcPr>
          <w:p>
            <w:r>
              <w:rPr>
                <w:sz w:val="20"/>
              </w:rPr>
              <w:t>0.240</w:t>
            </w:r>
          </w:p>
        </w:tc>
        <w:tc>
          <w:tcPr>
            <w:tcW w:type="dxa" w:w="1417"/>
            <w:shd w:val="clear" w:color="auto" w:fill="F2F2F2"/>
          </w:tcPr>
          <w:p>
            <w:r>
              <w:rPr>
                <w:sz w:val="20"/>
              </w:rPr>
              <w:t>0.381</w:t>
            </w:r>
          </w:p>
        </w:tc>
      </w:tr>
      <w:tr>
        <w:tc>
          <w:tcPr>
            <w:tcW w:type="dxa" w:w="1701"/>
          </w:tcPr>
          <w:p>
            <w:r>
              <w:rPr>
                <w:sz w:val="20"/>
              </w:rPr>
              <w:t>Serial biopsy</w:t>
            </w:r>
          </w:p>
        </w:tc>
        <w:tc>
          <w:tcPr>
            <w:tcW w:type="dxa" w:w="1984"/>
          </w:tcPr>
          <w:p>
            <w:r>
              <w:rPr>
                <w:sz w:val="20"/>
              </w:rPr>
              <w:t>EPV-10 (cap=4)</w:t>
            </w:r>
          </w:p>
        </w:tc>
        <w:tc>
          <w:tcPr>
            <w:tcW w:type="dxa" w:w="1134"/>
          </w:tcPr>
          <w:p>
            <w:r>
              <w:rPr>
                <w:sz w:val="20"/>
              </w:rPr>
              <w:t>2</w:t>
            </w:r>
          </w:p>
        </w:tc>
        <w:tc>
          <w:tcPr>
            <w:tcW w:type="dxa" w:w="1984"/>
          </w:tcPr>
          <w:p>
            <w:r>
              <w:rPr>
                <w:sz w:val="20"/>
              </w:rPr>
              <w:t>XGBoost</w:t>
            </w:r>
          </w:p>
        </w:tc>
        <w:tc>
          <w:tcPr>
            <w:tcW w:type="dxa" w:w="1134"/>
          </w:tcPr>
          <w:p>
            <w:r>
              <w:rPr>
                <w:sz w:val="20"/>
              </w:rPr>
              <w:t>0.601</w:t>
            </w:r>
          </w:p>
        </w:tc>
        <w:tc>
          <w:tcPr>
            <w:tcW w:type="dxa" w:w="1134"/>
          </w:tcPr>
          <w:p>
            <w:r>
              <w:rPr>
                <w:sz w:val="20"/>
              </w:rPr>
              <w:t>0.248</w:t>
            </w:r>
          </w:p>
        </w:tc>
        <w:tc>
          <w:tcPr>
            <w:tcW w:type="dxa" w:w="1417"/>
          </w:tcPr>
          <w:p>
            <w:r>
              <w:rPr>
                <w:sz w:val="20"/>
              </w:rPr>
              <w:t>0.080</w:t>
            </w:r>
          </w:p>
        </w:tc>
      </w:tr>
      <w:tr>
        <w:tc>
          <w:tcPr>
            <w:tcW w:type="dxa" w:w="1701"/>
            <w:shd w:val="clear" w:color="auto" w:fill="F2F2F2"/>
          </w:tcPr>
          <w:p>
            <w:r>
              <w:rPr>
                <w:sz w:val="20"/>
              </w:rPr>
              <w:t>Serial biopsy</w:t>
            </w:r>
          </w:p>
        </w:tc>
        <w:tc>
          <w:tcPr>
            <w:tcW w:type="dxa" w:w="1984"/>
            <w:shd w:val="clear" w:color="auto" w:fill="F2F2F2"/>
          </w:tcPr>
          <w:p>
            <w:r>
              <w:rPr>
                <w:sz w:val="20"/>
              </w:rPr>
              <w:t>EPV-10 (cap=4)</w:t>
            </w:r>
          </w:p>
        </w:tc>
        <w:tc>
          <w:tcPr>
            <w:tcW w:type="dxa" w:w="1134"/>
            <w:shd w:val="clear" w:color="auto" w:fill="F2F2F2"/>
          </w:tcPr>
          <w:p>
            <w:r>
              <w:rPr>
                <w:sz w:val="20"/>
              </w:rPr>
              <w:t>2</w:t>
            </w:r>
          </w:p>
        </w:tc>
        <w:tc>
          <w:tcPr>
            <w:tcW w:type="dxa" w:w="1984"/>
            <w:shd w:val="clear" w:color="auto" w:fill="F2F2F2"/>
          </w:tcPr>
          <w:p>
            <w:r>
              <w:rPr>
                <w:sz w:val="20"/>
              </w:rPr>
              <w:t>LightGBM</w:t>
            </w:r>
          </w:p>
        </w:tc>
        <w:tc>
          <w:tcPr>
            <w:tcW w:type="dxa" w:w="1134"/>
            <w:shd w:val="clear" w:color="auto" w:fill="F2F2F2"/>
          </w:tcPr>
          <w:p>
            <w:r>
              <w:rPr>
                <w:sz w:val="20"/>
              </w:rPr>
              <w:t>0.625</w:t>
            </w:r>
          </w:p>
        </w:tc>
        <w:tc>
          <w:tcPr>
            <w:tcW w:type="dxa" w:w="1134"/>
            <w:shd w:val="clear" w:color="auto" w:fill="F2F2F2"/>
          </w:tcPr>
          <w:p>
            <w:r>
              <w:rPr>
                <w:sz w:val="20"/>
              </w:rPr>
              <w:t>0.240</w:t>
            </w:r>
          </w:p>
        </w:tc>
        <w:tc>
          <w:tcPr>
            <w:tcW w:type="dxa" w:w="1417"/>
            <w:shd w:val="clear" w:color="auto" w:fill="F2F2F2"/>
          </w:tcPr>
          <w:p>
            <w:r>
              <w:rPr>
                <w:sz w:val="20"/>
              </w:rPr>
              <w:t>0.431</w:t>
            </w:r>
          </w:p>
        </w:tc>
      </w:tr>
      <w:tr>
        <w:tc>
          <w:tcPr>
            <w:tcW w:type="dxa" w:w="1701"/>
          </w:tcPr>
          <w:p>
            <w:r>
              <w:rPr>
                <w:sz w:val="20"/>
              </w:rPr>
              <w:t>Serial biopsy</w:t>
            </w:r>
          </w:p>
        </w:tc>
        <w:tc>
          <w:tcPr>
            <w:tcW w:type="dxa" w:w="1984"/>
          </w:tcPr>
          <w:p>
            <w:r>
              <w:rPr>
                <w:sz w:val="20"/>
              </w:rPr>
              <w:t>EPV-5 (cap=7)</w:t>
            </w:r>
          </w:p>
        </w:tc>
        <w:tc>
          <w:tcPr>
            <w:tcW w:type="dxa" w:w="1134"/>
          </w:tcPr>
          <w:p>
            <w:r>
              <w:rPr>
                <w:sz w:val="20"/>
              </w:rPr>
              <w:t>2</w:t>
            </w:r>
          </w:p>
        </w:tc>
        <w:tc>
          <w:tcPr>
            <w:tcW w:type="dxa" w:w="1984"/>
          </w:tcPr>
          <w:p>
            <w:r>
              <w:rPr>
                <w:sz w:val="20"/>
              </w:rPr>
              <w:t>Logistic Regression</w:t>
            </w:r>
          </w:p>
        </w:tc>
        <w:tc>
          <w:tcPr>
            <w:tcW w:type="dxa" w:w="1134"/>
          </w:tcPr>
          <w:p>
            <w:r>
              <w:rPr>
                <w:sz w:val="20"/>
              </w:rPr>
              <w:t>0.676</w:t>
            </w:r>
          </w:p>
        </w:tc>
        <w:tc>
          <w:tcPr>
            <w:tcW w:type="dxa" w:w="1134"/>
          </w:tcPr>
          <w:p>
            <w:r>
              <w:rPr>
                <w:sz w:val="20"/>
              </w:rPr>
              <w:t>0.235</w:t>
            </w:r>
          </w:p>
        </w:tc>
        <w:tc>
          <w:tcPr>
            <w:tcW w:type="dxa" w:w="1417"/>
          </w:tcPr>
          <w:p>
            <w:r>
              <w:rPr>
                <w:sz w:val="20"/>
              </w:rPr>
              <w:t>0.570</w:t>
            </w:r>
          </w:p>
        </w:tc>
      </w:tr>
      <w:tr>
        <w:tc>
          <w:tcPr>
            <w:tcW w:type="dxa" w:w="1701"/>
            <w:shd w:val="clear" w:color="auto" w:fill="F2F2F2"/>
          </w:tcPr>
          <w:p>
            <w:r>
              <w:rPr>
                <w:sz w:val="20"/>
              </w:rPr>
              <w:t>Serial biopsy</w:t>
            </w:r>
          </w:p>
        </w:tc>
        <w:tc>
          <w:tcPr>
            <w:tcW w:type="dxa" w:w="1984"/>
            <w:shd w:val="clear" w:color="auto" w:fill="F2F2F2"/>
          </w:tcPr>
          <w:p>
            <w:r>
              <w:rPr>
                <w:sz w:val="20"/>
              </w:rPr>
              <w:t>EPV-5 (cap=7)</w:t>
            </w:r>
          </w:p>
        </w:tc>
        <w:tc>
          <w:tcPr>
            <w:tcW w:type="dxa" w:w="1134"/>
            <w:shd w:val="clear" w:color="auto" w:fill="F2F2F2"/>
          </w:tcPr>
          <w:p>
            <w:r>
              <w:rPr>
                <w:sz w:val="20"/>
              </w:rPr>
              <w:t>2</w:t>
            </w:r>
          </w:p>
        </w:tc>
        <w:tc>
          <w:tcPr>
            <w:tcW w:type="dxa" w:w="1984"/>
            <w:shd w:val="clear" w:color="auto" w:fill="F2F2F2"/>
          </w:tcPr>
          <w:p>
            <w:r>
              <w:rPr>
                <w:sz w:val="20"/>
              </w:rPr>
              <w:t>Random Forest</w:t>
            </w:r>
          </w:p>
        </w:tc>
        <w:tc>
          <w:tcPr>
            <w:tcW w:type="dxa" w:w="1134"/>
            <w:shd w:val="clear" w:color="auto" w:fill="F2F2F2"/>
          </w:tcPr>
          <w:p>
            <w:r>
              <w:rPr>
                <w:sz w:val="20"/>
              </w:rPr>
              <w:t>0.629</w:t>
            </w:r>
          </w:p>
        </w:tc>
        <w:tc>
          <w:tcPr>
            <w:tcW w:type="dxa" w:w="1134"/>
            <w:shd w:val="clear" w:color="auto" w:fill="F2F2F2"/>
          </w:tcPr>
          <w:p>
            <w:r>
              <w:rPr>
                <w:sz w:val="20"/>
              </w:rPr>
              <w:t>0.240</w:t>
            </w:r>
          </w:p>
        </w:tc>
        <w:tc>
          <w:tcPr>
            <w:tcW w:type="dxa" w:w="1417"/>
            <w:shd w:val="clear" w:color="auto" w:fill="F2F2F2"/>
          </w:tcPr>
          <w:p>
            <w:r>
              <w:rPr>
                <w:sz w:val="20"/>
              </w:rPr>
              <w:t>0.381</w:t>
            </w:r>
          </w:p>
        </w:tc>
      </w:tr>
      <w:tr>
        <w:tc>
          <w:tcPr>
            <w:tcW w:type="dxa" w:w="1701"/>
          </w:tcPr>
          <w:p>
            <w:r>
              <w:rPr>
                <w:sz w:val="20"/>
              </w:rPr>
              <w:t>Serial biopsy</w:t>
            </w:r>
          </w:p>
        </w:tc>
        <w:tc>
          <w:tcPr>
            <w:tcW w:type="dxa" w:w="1984"/>
          </w:tcPr>
          <w:p>
            <w:r>
              <w:rPr>
                <w:sz w:val="20"/>
              </w:rPr>
              <w:t>EPV-5 (cap=7)</w:t>
            </w:r>
          </w:p>
        </w:tc>
        <w:tc>
          <w:tcPr>
            <w:tcW w:type="dxa" w:w="1134"/>
          </w:tcPr>
          <w:p>
            <w:r>
              <w:rPr>
                <w:sz w:val="20"/>
              </w:rPr>
              <w:t>2</w:t>
            </w:r>
          </w:p>
        </w:tc>
        <w:tc>
          <w:tcPr>
            <w:tcW w:type="dxa" w:w="1984"/>
          </w:tcPr>
          <w:p>
            <w:r>
              <w:rPr>
                <w:sz w:val="20"/>
              </w:rPr>
              <w:t>XGBoost</w:t>
            </w:r>
          </w:p>
        </w:tc>
        <w:tc>
          <w:tcPr>
            <w:tcW w:type="dxa" w:w="1134"/>
          </w:tcPr>
          <w:p>
            <w:r>
              <w:rPr>
                <w:sz w:val="20"/>
              </w:rPr>
              <w:t>0.601</w:t>
            </w:r>
          </w:p>
        </w:tc>
        <w:tc>
          <w:tcPr>
            <w:tcW w:type="dxa" w:w="1134"/>
          </w:tcPr>
          <w:p>
            <w:r>
              <w:rPr>
                <w:sz w:val="20"/>
              </w:rPr>
              <w:t>0.248</w:t>
            </w:r>
          </w:p>
        </w:tc>
        <w:tc>
          <w:tcPr>
            <w:tcW w:type="dxa" w:w="1417"/>
          </w:tcPr>
          <w:p>
            <w:r>
              <w:rPr>
                <w:sz w:val="20"/>
              </w:rPr>
              <w:t>0.080</w:t>
            </w:r>
          </w:p>
        </w:tc>
      </w:tr>
      <w:tr>
        <w:tc>
          <w:tcPr>
            <w:tcW w:type="dxa" w:w="1701"/>
            <w:shd w:val="clear" w:color="auto" w:fill="F2F2F2"/>
          </w:tcPr>
          <w:p>
            <w:r>
              <w:rPr>
                <w:sz w:val="20"/>
              </w:rPr>
              <w:t>Serial biopsy</w:t>
            </w:r>
          </w:p>
        </w:tc>
        <w:tc>
          <w:tcPr>
            <w:tcW w:type="dxa" w:w="1984"/>
            <w:shd w:val="clear" w:color="auto" w:fill="F2F2F2"/>
          </w:tcPr>
          <w:p>
            <w:r>
              <w:rPr>
                <w:sz w:val="20"/>
              </w:rPr>
              <w:t>EPV-5 (cap=7)</w:t>
            </w:r>
          </w:p>
        </w:tc>
        <w:tc>
          <w:tcPr>
            <w:tcW w:type="dxa" w:w="1134"/>
            <w:shd w:val="clear" w:color="auto" w:fill="F2F2F2"/>
          </w:tcPr>
          <w:p>
            <w:r>
              <w:rPr>
                <w:sz w:val="20"/>
              </w:rPr>
              <w:t>2</w:t>
            </w:r>
          </w:p>
        </w:tc>
        <w:tc>
          <w:tcPr>
            <w:tcW w:type="dxa" w:w="1984"/>
            <w:shd w:val="clear" w:color="auto" w:fill="F2F2F2"/>
          </w:tcPr>
          <w:p>
            <w:r>
              <w:rPr>
                <w:sz w:val="20"/>
              </w:rPr>
              <w:t>LightGBM</w:t>
            </w:r>
          </w:p>
        </w:tc>
        <w:tc>
          <w:tcPr>
            <w:tcW w:type="dxa" w:w="1134"/>
            <w:shd w:val="clear" w:color="auto" w:fill="F2F2F2"/>
          </w:tcPr>
          <w:p>
            <w:r>
              <w:rPr>
                <w:sz w:val="20"/>
              </w:rPr>
              <w:t>0.625</w:t>
            </w:r>
          </w:p>
        </w:tc>
        <w:tc>
          <w:tcPr>
            <w:tcW w:type="dxa" w:w="1134"/>
            <w:shd w:val="clear" w:color="auto" w:fill="F2F2F2"/>
          </w:tcPr>
          <w:p>
            <w:r>
              <w:rPr>
                <w:sz w:val="20"/>
              </w:rPr>
              <w:t>0.240</w:t>
            </w:r>
          </w:p>
        </w:tc>
        <w:tc>
          <w:tcPr>
            <w:tcW w:type="dxa" w:w="1417"/>
            <w:shd w:val="clear" w:color="auto" w:fill="F2F2F2"/>
          </w:tcPr>
          <w:p>
            <w:r>
              <w:rPr>
                <w:sz w:val="20"/>
              </w:rPr>
              <w:t>0.431</w:t>
            </w:r>
          </w:p>
        </w:tc>
      </w:tr>
    </w:tbl>
    <w:p/>
    <w:p>
      <w:pPr>
        <w:spacing w:after="120"/>
      </w:pPr>
      <w:r>
        <w:t>1-Year flare: relaxing the cap materially changed results. LASSO retained 19 features instead of 12, and all three tree models improved substantially — Random Forest AUROC 0.691→0.731, XGBoost 0.684→0.720, LightGBM 0.664→0.715 — with calibration slopes moving much closer to the ideal of 1.0 (e.g. XGBoost 0.506→0.886). Logistic Regression AUROC fell slightly (0.702→0.681). This indicates the EPV-10 cap was genuinely constraining tree-model performance in this cohort, consistent with the pmsampsize finding (Section 12.1) that the 1-year cohort is formally underpowered.</w:t>
      </w:r>
    </w:p>
    <w:p>
      <w:pPr>
        <w:spacing w:after="120"/>
      </w:pPr>
      <w:r>
        <w:t>Serial biopsy: no difference whatsoever — LASSO's discrete regularisation path selected exactly the same 2 features (% chronic gloms, time between biopsies) under both caps, because (as already noted in Section 4.5) the C-search jumps directly from 12 features to 2 with no intermediate value, so neither cap was actually binding. The EPV-5 relaxation could not have changed this result regardless of cohort size.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