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Results</w:t>
        <w:br/>
        <w:t>1-Year Flare · 5-Year Flare · Serial Biopsy · ESRD 5yr/10yr · TabPFN v3 Benchmark</w:t>
      </w:r>
    </w:p>
    <w:p/>
    <w:p>
      <w:pPr>
        <w:jc w:val="center"/>
      </w:pPr>
      <w:r>
        <w:rPr>
          <w:sz w:val="22"/>
        </w:rPr>
        <w:t>Generated: 05 August 2026</w:t>
      </w:r>
    </w:p>
    <w:p>
      <w:pPr>
        <w:spacing w:after="120"/>
      </w:pPr>
      <w:r>
        <w:t>Companion document to Lupus_Project_Methods.docx. Contains results tables only — see the Methods document for full methodology, feature selection detail, and data preparation.</w:t>
      </w:r>
    </w:p>
    <w:p>
      <w:r>
        <w:br w:type="page"/>
      </w:r>
    </w:p>
    <w:p>
      <w:pPr>
        <w:pStyle w:val="Heading1"/>
        <w:spacing w:before="280" w:after="80"/>
      </w:pPr>
      <w:r>
        <w:t>1. Cohort Summary</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spacing w:after="120"/>
      </w:pPr>
      <w:r>
        <w:t>Class imbalance handling: Logistic Regression / Random Forest / LightGBM used class_weight='balanced'; XGBoost used scale_pos_weight = n_negative / n_positive (values: 1yr 3.34, 5yr 1.14, serial 1.06, ESRD 5yr 6.11, ESRD 10yr 3.55).</w:t>
      </w:r>
    </w:p>
    <w:p>
      <w:pPr>
        <w:pStyle w:val="Heading1"/>
        <w:spacing w:before="280" w:after="80"/>
      </w:pPr>
      <w:r>
        <w:t>2. Best Hyperparameters</w:t>
      </w:r>
    </w:p>
    <w:p>
      <w:pPr>
        <w:spacing w:after="120"/>
      </w:pPr>
      <w:r>
        <w:t>Logistic Regression was not tuned (C=1.0 fixed, no additional regularisation beyond class weighting). Random Forest, XGBoost, and LightGBM were tuned via RandomizedSearchCV (scoring=AUROC).</w:t>
      </w:r>
    </w:p>
    <w:p>
      <w:pPr>
        <w:pStyle w:val="Heading2"/>
        <w:spacing w:before="160" w:after="80"/>
      </w:pPr>
      <w:r>
        <w:t>1-Year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pStyle w:val="Heading2"/>
        <w:spacing w:before="160" w:after="80"/>
      </w:pPr>
      <w:r>
        <w:t>5-Year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pStyle w:val="Heading2"/>
        <w:spacing w:before="160" w:after="80"/>
      </w:pPr>
      <w:r>
        <w:t>Serial biopsy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pStyle w:val="Heading2"/>
        <w:spacing w:before="160" w:after="80"/>
      </w:pPr>
      <w:r>
        <w:t>ESRD 5-Year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pStyle w:val="Heading2"/>
        <w:spacing w:before="160" w:after="80"/>
      </w:pPr>
      <w:r>
        <w:t>ESRD 10-Year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1"/>
        <w:spacing w:before="280" w:after="80"/>
      </w:pPr>
      <w:r>
        <w:t>3. Model Performance (CV + Harrell Bootstrap)</w:t>
      </w:r>
    </w:p>
    <w:p>
      <w:pPr>
        <w:pStyle w:val="Heading2"/>
        <w:spacing w:before="160" w:after="80"/>
      </w:pPr>
      <w:r>
        <w:t>3.1 1-Year Flare</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highest CV AUROC (0.708), lowest optimism. Random Forest: best calibration slope (0.849) and highest BC AUROC (0.730). No model exceeded AUROC 0.75.</w:t>
      </w:r>
    </w:p>
    <w:p>
      <w:pPr>
        <w:pStyle w:val="Heading2"/>
        <w:spacing w:before="160" w:after="80"/>
      </w:pPr>
      <w:r>
        <w:t>3.2 5-Year Flare</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w:t>
      </w:r>
    </w:p>
    <w:p>
      <w:pPr>
        <w:pStyle w:val="Heading2"/>
        <w:spacing w:before="160" w:after="80"/>
      </w:pPr>
      <w:r>
        <w:t>3.3 Serial Biopsy</w:t>
      </w:r>
    </w:p>
    <w:p>
      <w:pPr>
        <w:spacing w:after="120"/>
      </w:pPr>
      <w:r>
        <w:t>n=70, 34 events (48.6%), 2 predictors. 5×5-fold CV. Exploratory given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best-performing (CV AUROC 0.676). XGBoost calibration slope of 0.053 indicates near-constant predictions (severe miscalibration) at this sample size.</w:t>
      </w:r>
    </w:p>
    <w:p>
      <w:pPr>
        <w:pStyle w:val="Heading2"/>
        <w:spacing w:before="160" w:after="80"/>
      </w:pPr>
      <w:r>
        <w:t>3.4 ESRD 5-Year</w:t>
      </w:r>
    </w:p>
    <w:p>
      <w:pPr>
        <w:spacing w:after="120"/>
      </w:pPr>
      <w:r>
        <w:t>n=796, 112 events (14.1%), 5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similar CV AUROCs (0.787–0.797) with small Harrell optimism (0.007–0.047). LightGBM had the highest BC AUROC (0.808); Random Forest achieved near-perfect calibration (slope 1.013).</w:t>
      </w:r>
    </w:p>
    <w:p>
      <w:pPr>
        <w:pStyle w:val="Heading2"/>
        <w:spacing w:before="160" w:after="80"/>
      </w:pPr>
      <w:r>
        <w:t>3.5 ESRD 10-Year</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LightGBM achieved the highest BC AUROC (0.926) despite slightly lower CV AUROC. Larger optimism corrections at 10 years reflect the greater model complexity (17 predictors).</w:t>
      </w:r>
    </w:p>
    <w:p>
      <w:pPr>
        <w:pStyle w:val="Heading1"/>
        <w:spacing w:before="280" w:after="80"/>
      </w:pPr>
      <w:r>
        <w:t>4. Pairwise Model Comparison — DeLong's Test</w:t>
      </w:r>
    </w:p>
    <w:p>
      <w:pPr>
        <w:spacing w:after="120"/>
      </w:pPr>
      <w:r>
        <w:t>DeLong's test on out-of-fold CV predictions, Bonferroni-Holm corrected across the 6 pairwise comparisons within each cohort.</w:t>
      </w:r>
    </w:p>
    <w:p>
      <w:pPr>
        <w:pStyle w:val="Heading2"/>
        <w:spacing w:before="160" w:after="80"/>
      </w:pPr>
      <w:r>
        <w:t>4.1 1-Year Flare</w:t>
      </w:r>
    </w:p>
    <w:p>
      <w:pPr>
        <w:spacing w:after="120"/>
      </w:pPr>
      <w:r>
        <w:t>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Random Forest outperformed LightGBM (p=0.006 Holm). No model beat Logistic Regression after correction.</w:t>
      </w:r>
    </w:p>
    <w:p>
      <w:pPr>
        <w:pStyle w:val="Heading2"/>
        <w:spacing w:before="160" w:after="80"/>
      </w:pPr>
      <w:r>
        <w:t>4.2 5-Year Flare</w:t>
      </w:r>
    </w:p>
    <w:p>
      <w:pPr>
        <w:spacing w:after="120"/>
      </w:pPr>
      <w:r>
        <w:t>No significant pairwise differences after Holm correction (all adjusted p ≥ 1.0). OOF AUROCs: LR=0.666, RF=0.677, XGB=0.666, LGBM=0.681.</w:t>
      </w:r>
    </w:p>
    <w:p>
      <w:pPr>
        <w:pStyle w:val="Heading2"/>
        <w:spacing w:before="160" w:after="80"/>
      </w:pPr>
      <w:r>
        <w:t>4.3 Serial Biopsy</w:t>
      </w:r>
    </w:p>
    <w:p>
      <w:pPr>
        <w:spacing w:after="120"/>
      </w:pPr>
      <w:r>
        <w:t>No significant pairwise differences after correction (all adjusted p ≥ 0.26). Expected given n=70.</w:t>
      </w:r>
    </w:p>
    <w:p>
      <w:pPr>
        <w:pStyle w:val="Heading2"/>
        <w:spacing w:before="160" w:after="80"/>
      </w:pPr>
      <w:r>
        <w:t>4.4 ESRD 5-Year</w:t>
      </w:r>
    </w:p>
    <w:p>
      <w:pPr>
        <w:spacing w:after="120"/>
      </w:pPr>
      <w:r>
        <w:t>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after Holm correction (all adjusted p ≥ 0.239). Models essentially equivalent with 5 features and 112 events.</w:t>
      </w:r>
    </w:p>
    <w:p>
      <w:pPr>
        <w:pStyle w:val="Heading2"/>
        <w:spacing w:before="160" w:after="80"/>
      </w:pPr>
      <w:r>
        <w:t>4.5 ESRD 10-Year</w:t>
      </w:r>
    </w:p>
    <w:p>
      <w:pPr>
        <w:spacing w:after="120"/>
      </w:pPr>
      <w:r>
        <w:t>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(all adjusted p = 1.000). Models indistinguishable in discrimination on OOF predictions.</w:t>
      </w:r>
    </w:p>
    <w:p>
      <w:pPr>
        <w:pStyle w:val="Heading1"/>
        <w:spacing w:before="280" w:after="80"/>
      </w:pPr>
      <w:r>
        <w:t>5. SHAP Feature Importance</w:t>
      </w:r>
    </w:p>
    <w:p>
      <w:pPr>
        <w:spacing w:after="120"/>
      </w:pPr>
      <w:r>
        <w:t>Mean |SHAP| per feature per model, sorted by cross-model mean. Serial biopsy (2 predictors) omitted — not separately computed.</w:t>
      </w:r>
    </w:p>
    <w:p>
      <w:pPr>
        <w:pStyle w:val="Heading2"/>
        <w:spacing w:before="160" w:after="80"/>
      </w:pPr>
      <w:r>
        <w:t>5.1 1-Year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pStyle w:val="Heading2"/>
        <w:spacing w:before="160" w:after="80"/>
      </w:pPr>
      <w:r>
        <w:t>5.2 5-Year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pStyle w:val="Heading2"/>
        <w:spacing w:before="160" w:after="80"/>
      </w:pPr>
      <w:r>
        <w:t>5.3 ESRD 5-Year</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pStyle w:val="Heading2"/>
        <w:spacing w:before="160" w:after="80"/>
      </w:pPr>
      <w:r>
        <w:t>5.4 ESRD 10-Year (top 10)</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pStyle w:val="Heading1"/>
        <w:spacing w:before="280" w:after="80"/>
      </w:pPr>
      <w:r>
        <w:t>6. TabPFN v3 Benchmark</w:t>
      </w:r>
    </w:p>
    <w:p>
      <w:pPr>
        <w:spacing w:after="120"/>
      </w:pPr>
      <w:r>
        <w:t>TabPFN v3 (Prior Labs hosted API, tabpfn_client==0.3.1) benchmarked against the four main classifiers using the same 5×10-fold CV protocol, all four cohorts.</w:t>
      </w:r>
    </w:p>
    <w:p>
      <w:pPr>
        <w:pStyle w:val="Heading2"/>
        <w:spacing w:before="160" w:after="80"/>
      </w:pPr>
      <w:r>
        <w:t>6.1 1-Year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pStyle w:val="Heading2"/>
        <w:spacing w:before="160" w:after="80"/>
      </w:pPr>
      <w:r>
        <w:t>6.2 5-Year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pStyle w:val="Heading2"/>
        <w:spacing w:before="160" w:after="80"/>
      </w:pPr>
      <w:r>
        <w:t>6.3 ESRD 5-Year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tied the best AUROC and had a markedly lower Brier score (0.100 vs 0.164–0.178) — the largest calibration advantage seen in this benchmark.</w:t>
      </w:r>
    </w:p>
    <w:p>
      <w:pPr>
        <w:pStyle w:val="Heading2"/>
        <w:spacing w:before="160" w:after="80"/>
      </w:pPr>
      <w:r>
        <w:t>6.4 ESRD 10-Year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(Brier 0.122).</w:t>
      </w:r>
    </w:p>
    <w:p>
      <w:pPr>
        <w:spacing w:after="120"/>
      </w:pPr>
      <w:r>
        <w:t>Across all four cohorts, TabPFN v3's main advantage is consistently calibration (Brier score), not discrimination (AUROC) — it matches but does not exceed the best-tuned model's AUROC in every case.</w:t>
      </w:r>
    </w:p>
    <w:p>
      <w:pPr>
        <w:pStyle w:val="Heading1"/>
        <w:spacing w:before="280" w:after="80"/>
      </w:pPr>
      <w:r>
        <w:t>7. Sample Size Justification (pmsampsize)</w:t>
      </w:r>
    </w:p>
    <w:p>
      <w:pPr>
        <w:spacing w:after="120"/>
      </w:pPr>
      <w:r>
        <w:t>Formal minimum sample size was calculated per Riley et al. 2020 (BMJ 368:m441) for each cohort, using the final predictor count, observed event prevalence, and the cohort's own optimism-adjusted (bias-corrected) Logistic Regression AUROC as the anticipated C-statistic (LR is the paper's designated primary model). Required n = max of three criteria: (1) predictor-effect shrinkage &lt;=10%, (2) &lt;=0.05 absolute difference between apparent and adjusted Nagelkerke R2, (3) intercept estimated to within a 0.05 margin of error (src/22_pmsampsize.py).</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Cohort</w:t>
            </w:r>
          </w:p>
        </w:tc>
        <w:tc>
          <w:tcPr>
            <w:tcW w:type="dxa" w:w="850"/>
            <w:shd w:val="clear" w:color="auto" w:fill="BDD7EE"/>
          </w:tcPr>
          <w:p>
            <w:r>
              <w:rPr>
                <w:b/>
                <w:sz w:val="20"/>
              </w:rPr>
              <w:t>p</w:t>
            </w:r>
          </w:p>
        </w:tc>
        <w:tc>
          <w:tcPr>
            <w:tcW w:type="dxa" w:w="1701"/>
            <w:shd w:val="clear" w:color="auto" w:fill="BDD7EE"/>
          </w:tcPr>
          <w:p>
            <w:r>
              <w:rPr>
                <w:b/>
                <w:sz w:val="20"/>
              </w:rPr>
              <w:t>C-stat (LR, BC)</w:t>
            </w:r>
          </w:p>
        </w:tc>
        <w:tc>
          <w:tcPr>
            <w:tcW w:type="dxa" w:w="1417"/>
            <w:shd w:val="clear" w:color="auto" w:fill="BDD7EE"/>
          </w:tcPr>
          <w:p>
            <w:r>
              <w:rPr>
                <w:b/>
                <w:sz w:val="20"/>
              </w:rPr>
              <w:t>n required</w:t>
            </w:r>
          </w:p>
        </w:tc>
        <w:tc>
          <w:tcPr>
            <w:tcW w:type="dxa" w:w="1417"/>
            <w:shd w:val="clear" w:color="auto" w:fill="BDD7EE"/>
          </w:tcPr>
          <w:p>
            <w:r>
              <w:rPr>
                <w:b/>
                <w:sz w:val="20"/>
              </w:rPr>
              <w:t>n actual</w:t>
            </w:r>
          </w:p>
        </w:tc>
        <w:tc>
          <w:tcPr>
            <w:tcW w:type="dxa" w:w="1417"/>
            <w:shd w:val="clear" w:color="auto" w:fill="BDD7EE"/>
          </w:tcPr>
          <w:p>
            <w:r>
              <w:rPr>
                <w:b/>
                <w:sz w:val="20"/>
              </w:rPr>
              <w:t>EPV actual</w:t>
            </w:r>
          </w:p>
        </w:tc>
        <w:tc>
          <w:tcPr>
            <w:tcW w:type="dxa" w:w="1417"/>
            <w:shd w:val="clear" w:color="auto" w:fill="BDD7EE"/>
          </w:tcPr>
          <w:p>
            <w:r>
              <w:rPr>
                <w:b/>
                <w:sz w:val="20"/>
              </w:rPr>
              <w:t>Adequate?</w:t>
            </w:r>
          </w:p>
        </w:tc>
      </w:tr>
      <w:tr>
        <w:tc>
          <w:tcPr>
            <w:tcW w:type="dxa" w:w="2268"/>
          </w:tcPr>
          <w:p>
            <w:r>
              <w:rPr>
                <w:sz w:val="20"/>
              </w:rPr>
              <w:t>1-Year flare</w:t>
            </w:r>
          </w:p>
        </w:tc>
        <w:tc>
          <w:tcPr>
            <w:tcW w:type="dxa" w:w="850"/>
          </w:tcPr>
          <w:p>
            <w:r>
              <w:rPr>
                <w:sz w:val="20"/>
              </w:rPr>
              <w:t>9</w:t>
            </w:r>
          </w:p>
        </w:tc>
        <w:tc>
          <w:tcPr>
            <w:tcW w:type="dxa" w:w="1701"/>
          </w:tcPr>
          <w:p>
            <w:r>
              <w:rPr>
                <w:sz w:val="20"/>
              </w:rPr>
              <w:t>0.709</w:t>
            </w:r>
          </w:p>
        </w:tc>
        <w:tc>
          <w:tcPr>
            <w:tcW w:type="dxa" w:w="1417"/>
          </w:tcPr>
          <w:p>
            <w:r>
              <w:rPr>
                <w:sz w:val="20"/>
              </w:rPr>
              <w:t>795</w:t>
            </w:r>
          </w:p>
        </w:tc>
        <w:tc>
          <w:tcPr>
            <w:tcW w:type="dxa" w:w="1417"/>
          </w:tcPr>
          <w:p>
            <w:r>
              <w:rPr>
                <w:sz w:val="20"/>
              </w:rPr>
              <w:t>430</w:t>
            </w:r>
          </w:p>
        </w:tc>
        <w:tc>
          <w:tcPr>
            <w:tcW w:type="dxa" w:w="1417"/>
          </w:tcPr>
          <w:p>
            <w:r>
              <w:rPr>
                <w:sz w:val="20"/>
              </w:rPr>
              <w:t>11.00</w:t>
            </w:r>
          </w:p>
        </w:tc>
        <w:tc>
          <w:tcPr>
            <w:tcW w:type="dxa" w:w="1417"/>
          </w:tcPr>
          <w:p>
            <w:r>
              <w:rPr>
                <w:sz w:val="20"/>
              </w:rPr>
              <w:t>No</w:t>
            </w:r>
          </w:p>
        </w:tc>
      </w:tr>
      <w:tr>
        <w:tc>
          <w:tcPr>
            <w:tcW w:type="dxa" w:w="2268"/>
            <w:shd w:val="clear" w:color="auto" w:fill="F2F2F2"/>
          </w:tcPr>
          <w:p>
            <w:r>
              <w:rPr>
                <w:sz w:val="20"/>
              </w:rPr>
              <w:t>5-Year flare</w:t>
            </w:r>
          </w:p>
        </w:tc>
        <w:tc>
          <w:tcPr>
            <w:tcW w:type="dxa" w:w="850"/>
            <w:shd w:val="clear" w:color="auto" w:fill="F2F2F2"/>
          </w:tcPr>
          <w:p>
            <w:r>
              <w:rPr>
                <w:sz w:val="20"/>
              </w:rPr>
              <w:t>10</w:t>
            </w:r>
          </w:p>
        </w:tc>
        <w:tc>
          <w:tcPr>
            <w:tcW w:type="dxa" w:w="1701"/>
            <w:shd w:val="clear" w:color="auto" w:fill="F2F2F2"/>
          </w:tcPr>
          <w:p>
            <w:r>
              <w:rPr>
                <w:sz w:val="20"/>
              </w:rPr>
              <w:t>0.670</w:t>
            </w:r>
          </w:p>
        </w:tc>
        <w:tc>
          <w:tcPr>
            <w:tcW w:type="dxa" w:w="1417"/>
            <w:shd w:val="clear" w:color="auto" w:fill="F2F2F2"/>
          </w:tcPr>
          <w:p>
            <w:r>
              <w:rPr>
                <w:sz w:val="20"/>
              </w:rPr>
              <w:t>976</w:t>
            </w:r>
          </w:p>
        </w:tc>
        <w:tc>
          <w:tcPr>
            <w:tcW w:type="dxa" w:w="1417"/>
            <w:shd w:val="clear" w:color="auto" w:fill="F2F2F2"/>
          </w:tcPr>
          <w:p>
            <w:r>
              <w:rPr>
                <w:sz w:val="20"/>
              </w:rPr>
              <w:t>356</w:t>
            </w:r>
          </w:p>
        </w:tc>
        <w:tc>
          <w:tcPr>
            <w:tcW w:type="dxa" w:w="1417"/>
            <w:shd w:val="clear" w:color="auto" w:fill="F2F2F2"/>
          </w:tcPr>
          <w:p>
            <w:r>
              <w:rPr>
                <w:sz w:val="20"/>
              </w:rPr>
              <w:t>16.60</w:t>
            </w:r>
          </w:p>
        </w:tc>
        <w:tc>
          <w:tcPr>
            <w:tcW w:type="dxa" w:w="1417"/>
            <w:shd w:val="clear" w:color="auto" w:fill="F2F2F2"/>
          </w:tcPr>
          <w:p>
            <w:r>
              <w:rPr>
                <w:sz w:val="20"/>
              </w:rPr>
              <w:t>No</w:t>
            </w:r>
          </w:p>
        </w:tc>
      </w:tr>
      <w:tr>
        <w:tc>
          <w:tcPr>
            <w:tcW w:type="dxa" w:w="2268"/>
          </w:tcPr>
          <w:p>
            <w:r>
              <w:rPr>
                <w:sz w:val="20"/>
              </w:rPr>
              <w:t>Serial biopsy</w:t>
            </w:r>
          </w:p>
        </w:tc>
        <w:tc>
          <w:tcPr>
            <w:tcW w:type="dxa" w:w="850"/>
          </w:tcPr>
          <w:p>
            <w:r>
              <w:rPr>
                <w:sz w:val="20"/>
              </w:rPr>
              <w:t>2</w:t>
            </w:r>
          </w:p>
        </w:tc>
        <w:tc>
          <w:tcPr>
            <w:tcW w:type="dxa" w:w="1701"/>
          </w:tcPr>
          <w:p>
            <w:r>
              <w:rPr>
                <w:sz w:val="20"/>
              </w:rPr>
              <w:t>0.660</w:t>
            </w:r>
          </w:p>
        </w:tc>
        <w:tc>
          <w:tcPr>
            <w:tcW w:type="dxa" w:w="1417"/>
          </w:tcPr>
          <w:p>
            <w:r>
              <w:rPr>
                <w:sz w:val="20"/>
              </w:rPr>
              <w:t>384</w:t>
            </w:r>
          </w:p>
        </w:tc>
        <w:tc>
          <w:tcPr>
            <w:tcW w:type="dxa" w:w="1417"/>
          </w:tcPr>
          <w:p>
            <w:r>
              <w:rPr>
                <w:sz w:val="20"/>
              </w:rPr>
              <w:t>70</w:t>
            </w:r>
          </w:p>
        </w:tc>
        <w:tc>
          <w:tcPr>
            <w:tcW w:type="dxa" w:w="1417"/>
          </w:tcPr>
          <w:p>
            <w:r>
              <w:rPr>
                <w:sz w:val="20"/>
              </w:rPr>
              <w:t>17.00</w:t>
            </w:r>
          </w:p>
        </w:tc>
        <w:tc>
          <w:tcPr>
            <w:tcW w:type="dxa" w:w="1417"/>
          </w:tcPr>
          <w:p>
            <w:r>
              <w:rPr>
                <w:sz w:val="20"/>
              </w:rPr>
              <w:t>No</w:t>
            </w:r>
          </w:p>
        </w:tc>
      </w:tr>
      <w:tr>
        <w:tc>
          <w:tcPr>
            <w:tcW w:type="dxa" w:w="2268"/>
            <w:shd w:val="clear" w:color="auto" w:fill="F2F2F2"/>
          </w:tcPr>
          <w:p>
            <w:r>
              <w:rPr>
                <w:sz w:val="20"/>
              </w:rPr>
              <w:t>ESRD 5-Year</w:t>
            </w:r>
          </w:p>
        </w:tc>
        <w:tc>
          <w:tcPr>
            <w:tcW w:type="dxa" w:w="850"/>
            <w:shd w:val="clear" w:color="auto" w:fill="F2F2F2"/>
          </w:tcPr>
          <w:p>
            <w:r>
              <w:rPr>
                <w:sz w:val="20"/>
              </w:rPr>
              <w:t>5</w:t>
            </w:r>
          </w:p>
        </w:tc>
        <w:tc>
          <w:tcPr>
            <w:tcW w:type="dxa" w:w="1701"/>
            <w:shd w:val="clear" w:color="auto" w:fill="F2F2F2"/>
          </w:tcPr>
          <w:p>
            <w:r>
              <w:rPr>
                <w:sz w:val="20"/>
              </w:rPr>
              <w:t>0.797</w:t>
            </w:r>
          </w:p>
        </w:tc>
        <w:tc>
          <w:tcPr>
            <w:tcW w:type="dxa" w:w="1417"/>
            <w:shd w:val="clear" w:color="auto" w:fill="F2F2F2"/>
          </w:tcPr>
          <w:p>
            <w:r>
              <w:rPr>
                <w:sz w:val="20"/>
              </w:rPr>
              <w:t>294</w:t>
            </w:r>
          </w:p>
        </w:tc>
        <w:tc>
          <w:tcPr>
            <w:tcW w:type="dxa" w:w="1417"/>
            <w:shd w:val="clear" w:color="auto" w:fill="F2F2F2"/>
          </w:tcPr>
          <w:p>
            <w:r>
              <w:rPr>
                <w:sz w:val="20"/>
              </w:rPr>
              <w:t>796</w:t>
            </w:r>
          </w:p>
        </w:tc>
        <w:tc>
          <w:tcPr>
            <w:tcW w:type="dxa" w:w="1417"/>
            <w:shd w:val="clear" w:color="auto" w:fill="F2F2F2"/>
          </w:tcPr>
          <w:p>
            <w:r>
              <w:rPr>
                <w:sz w:val="20"/>
              </w:rPr>
              <w:t>22.40</w:t>
            </w:r>
          </w:p>
        </w:tc>
        <w:tc>
          <w:tcPr>
            <w:tcW w:type="dxa" w:w="1417"/>
            <w:shd w:val="clear" w:color="auto" w:fill="F2F2F2"/>
          </w:tcPr>
          <w:p>
            <w:r>
              <w:rPr>
                <w:sz w:val="20"/>
              </w:rPr>
              <w:t>Yes</w:t>
            </w:r>
          </w:p>
        </w:tc>
      </w:tr>
      <w:tr>
        <w:tc>
          <w:tcPr>
            <w:tcW w:type="dxa" w:w="2268"/>
          </w:tcPr>
          <w:p>
            <w:r>
              <w:rPr>
                <w:sz w:val="20"/>
              </w:rPr>
              <w:t>ESRD 10-Year</w:t>
            </w:r>
          </w:p>
        </w:tc>
        <w:tc>
          <w:tcPr>
            <w:tcW w:type="dxa" w:w="850"/>
          </w:tcPr>
          <w:p>
            <w:r>
              <w:rPr>
                <w:sz w:val="20"/>
              </w:rPr>
              <w:t>17</w:t>
            </w:r>
          </w:p>
        </w:tc>
        <w:tc>
          <w:tcPr>
            <w:tcW w:type="dxa" w:w="1701"/>
          </w:tcPr>
          <w:p>
            <w:r>
              <w:rPr>
                <w:sz w:val="20"/>
              </w:rPr>
              <w:t>0.817</w:t>
            </w:r>
          </w:p>
        </w:tc>
        <w:tc>
          <w:tcPr>
            <w:tcW w:type="dxa" w:w="1417"/>
          </w:tcPr>
          <w:p>
            <w:r>
              <w:rPr>
                <w:sz w:val="20"/>
              </w:rPr>
              <w:t>620</w:t>
            </w:r>
          </w:p>
        </w:tc>
        <w:tc>
          <w:tcPr>
            <w:tcW w:type="dxa" w:w="1417"/>
          </w:tcPr>
          <w:p>
            <w:r>
              <w:rPr>
                <w:sz w:val="20"/>
              </w:rPr>
              <w:t>796</w:t>
            </w:r>
          </w:p>
        </w:tc>
        <w:tc>
          <w:tcPr>
            <w:tcW w:type="dxa" w:w="1417"/>
          </w:tcPr>
          <w:p>
            <w:r>
              <w:rPr>
                <w:sz w:val="20"/>
              </w:rPr>
              <w:t>10.29</w:t>
            </w:r>
          </w:p>
        </w:tc>
        <w:tc>
          <w:tcPr>
            <w:tcW w:type="dxa" w:w="1417"/>
          </w:tcPr>
          <w:p>
            <w:r>
              <w:rPr>
                <w:sz w:val="20"/>
              </w:rPr>
              <w:t>Yes</w:t>
            </w:r>
          </w:p>
        </w:tc>
      </w:tr>
    </w:tbl>
    <w:p/>
    <w:p>
      <w:pPr>
        <w:spacing w:after="120"/>
      </w:pPr>
      <w:r>
        <w:t>EPV-10 and Riley's formal criteria disagree for the three flare cohorts: all three are underpowered by pmsampsize despite meeting or exceeding EPV-10 (1-year EPV=11.00, 5-year EPV=16.60, serial EPV=17.00), because their lower discrimination (C-statistic 0.660-0.709) requires substantially more events to control overfitting and estimate the intercept precisely. Both ESRD cohorts are formally adequate — ESRD 10-year passes despite an EPV of only 10.29, since its higher discrimination (C=0.817) needs proportionally fewer events. This indicates the true sample-size shortfall in the flare cohorts is real and larger than the EPV-10 heuristic alone suggests, while the ESRD analyses are adequately powered by both criteria.</w:t>
      </w:r>
    </w:p>
    <w:p>
      <w:pPr>
        <w:pStyle w:val="Heading1"/>
        <w:spacing w:before="280" w:after="80"/>
      </w:pPr>
      <w:r>
        <w:t>8. EPV Cap Sensitivity</w:t>
      </w:r>
    </w:p>
    <w:p>
      <w:pPr>
        <w:spacing w:after="120"/>
      </w:pPr>
      <w:r>
        <w:t>Direct test of whether the EPV-10 feature cap materially constrained performance: reran automated LASSO-capped feature selection with the cap relaxed to EPV-5 for the two most constrained cohorts, then applied the same tuning + CV protocol (src/23_epv5_sensitivity.py). Reruns the automated selection only — does not reproduce the manual post-selection clinical corrections in the published pipeline, so these AUROCs differ from the main results above; purpose is to isolate the effect of the cap alone.</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701"/>
            <w:shd w:val="clear" w:color="auto" w:fill="BDD7EE"/>
          </w:tcPr>
          <w:p>
            <w:r>
              <w:rPr>
                <w:b/>
                <w:sz w:val="20"/>
              </w:rPr>
              <w:t>Cohort</w:t>
            </w:r>
          </w:p>
        </w:tc>
        <w:tc>
          <w:tcPr>
            <w:tcW w:type="dxa" w:w="1984"/>
            <w:shd w:val="clear" w:color="auto" w:fill="BDD7EE"/>
          </w:tcPr>
          <w:p>
            <w:r>
              <w:rPr>
                <w:b/>
                <w:sz w:val="20"/>
              </w:rPr>
              <w:t>Cap</w:t>
            </w:r>
          </w:p>
        </w:tc>
        <w:tc>
          <w:tcPr>
            <w:tcW w:type="dxa" w:w="1134"/>
            <w:shd w:val="clear" w:color="auto" w:fill="BDD7EE"/>
          </w:tcPr>
          <w:p>
            <w:r>
              <w:rPr>
                <w:b/>
                <w:sz w:val="20"/>
              </w:rPr>
              <w:t>N features</w:t>
            </w:r>
          </w:p>
        </w:tc>
        <w:tc>
          <w:tcPr>
            <w:tcW w:type="dxa" w:w="1984"/>
            <w:shd w:val="clear" w:color="auto" w:fill="BDD7EE"/>
          </w:tcPr>
          <w:p>
            <w:r>
              <w:rPr>
                <w:b/>
                <w:sz w:val="20"/>
              </w:rPr>
              <w:t>Model</w:t>
            </w:r>
          </w:p>
        </w:tc>
        <w:tc>
          <w:tcPr>
            <w:tcW w:type="dxa" w:w="1134"/>
            <w:shd w:val="clear" w:color="auto" w:fill="BDD7EE"/>
          </w:tcPr>
          <w:p>
            <w:r>
              <w:rPr>
                <w:b/>
                <w:sz w:val="20"/>
              </w:rPr>
              <w:t>CV AUROC</w:t>
            </w:r>
          </w:p>
        </w:tc>
        <w:tc>
          <w:tcPr>
            <w:tcW w:type="dxa" w:w="1134"/>
            <w:shd w:val="clear" w:color="auto" w:fill="BDD7EE"/>
          </w:tcPr>
          <w:p>
            <w:r>
              <w:rPr>
                <w:b/>
                <w:sz w:val="20"/>
              </w:rPr>
              <w:t>CV Brier</w:t>
            </w:r>
          </w:p>
        </w:tc>
        <w:tc>
          <w:tcPr>
            <w:tcW w:type="dxa" w:w="1417"/>
            <w:shd w:val="clear" w:color="auto" w:fill="BDD7EE"/>
          </w:tcPr>
          <w:p>
            <w:r>
              <w:rPr>
                <w:b/>
                <w:sz w:val="20"/>
              </w:rPr>
              <w:t>CV Cal Slope</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Logistic Regression</w:t>
            </w:r>
          </w:p>
        </w:tc>
        <w:tc>
          <w:tcPr>
            <w:tcW w:type="dxa" w:w="1134"/>
          </w:tcPr>
          <w:p>
            <w:r>
              <w:rPr>
                <w:sz w:val="20"/>
              </w:rPr>
              <w:t>0.702</w:t>
            </w:r>
          </w:p>
        </w:tc>
        <w:tc>
          <w:tcPr>
            <w:tcW w:type="dxa" w:w="1134"/>
          </w:tcPr>
          <w:p>
            <w:r>
              <w:rPr>
                <w:sz w:val="20"/>
              </w:rPr>
              <w:t>0.219</w:t>
            </w:r>
          </w:p>
        </w:tc>
        <w:tc>
          <w:tcPr>
            <w:tcW w:type="dxa" w:w="1417"/>
          </w:tcPr>
          <w:p>
            <w:r>
              <w:rPr>
                <w:sz w:val="20"/>
              </w:rPr>
              <w:t>0.640</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Random Forest</w:t>
            </w:r>
          </w:p>
        </w:tc>
        <w:tc>
          <w:tcPr>
            <w:tcW w:type="dxa" w:w="1134"/>
            <w:shd w:val="clear" w:color="auto" w:fill="F2F2F2"/>
          </w:tcPr>
          <w:p>
            <w:r>
              <w:rPr>
                <w:sz w:val="20"/>
              </w:rPr>
              <w:t>0.691</w:t>
            </w:r>
          </w:p>
        </w:tc>
        <w:tc>
          <w:tcPr>
            <w:tcW w:type="dxa" w:w="1134"/>
            <w:shd w:val="clear" w:color="auto" w:fill="F2F2F2"/>
          </w:tcPr>
          <w:p>
            <w:r>
              <w:rPr>
                <w:sz w:val="20"/>
              </w:rPr>
              <w:t>0.187</w:t>
            </w:r>
          </w:p>
        </w:tc>
        <w:tc>
          <w:tcPr>
            <w:tcW w:type="dxa" w:w="1417"/>
            <w:shd w:val="clear" w:color="auto" w:fill="F2F2F2"/>
          </w:tcPr>
          <w:p>
            <w:r>
              <w:rPr>
                <w:sz w:val="20"/>
              </w:rPr>
              <w:t>0.719</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XGBoost</w:t>
            </w:r>
          </w:p>
        </w:tc>
        <w:tc>
          <w:tcPr>
            <w:tcW w:type="dxa" w:w="1134"/>
          </w:tcPr>
          <w:p>
            <w:r>
              <w:rPr>
                <w:sz w:val="20"/>
              </w:rPr>
              <w:t>0.684</w:t>
            </w:r>
          </w:p>
        </w:tc>
        <w:tc>
          <w:tcPr>
            <w:tcW w:type="dxa" w:w="1134"/>
          </w:tcPr>
          <w:p>
            <w:r>
              <w:rPr>
                <w:sz w:val="20"/>
              </w:rPr>
              <w:t>0.236</w:t>
            </w:r>
          </w:p>
        </w:tc>
        <w:tc>
          <w:tcPr>
            <w:tcW w:type="dxa" w:w="1417"/>
          </w:tcPr>
          <w:p>
            <w:r>
              <w:rPr>
                <w:sz w:val="20"/>
              </w:rPr>
              <w:t>0.506</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LightGBM</w:t>
            </w:r>
          </w:p>
        </w:tc>
        <w:tc>
          <w:tcPr>
            <w:tcW w:type="dxa" w:w="1134"/>
            <w:shd w:val="clear" w:color="auto" w:fill="F2F2F2"/>
          </w:tcPr>
          <w:p>
            <w:r>
              <w:rPr>
                <w:sz w:val="20"/>
              </w:rPr>
              <w:t>0.664</w:t>
            </w:r>
          </w:p>
        </w:tc>
        <w:tc>
          <w:tcPr>
            <w:tcW w:type="dxa" w:w="1134"/>
            <w:shd w:val="clear" w:color="auto" w:fill="F2F2F2"/>
          </w:tcPr>
          <w:p>
            <w:r>
              <w:rPr>
                <w:sz w:val="20"/>
              </w:rPr>
              <w:t>0.219</w:t>
            </w:r>
          </w:p>
        </w:tc>
        <w:tc>
          <w:tcPr>
            <w:tcW w:type="dxa" w:w="1417"/>
            <w:shd w:val="clear" w:color="auto" w:fill="F2F2F2"/>
          </w:tcPr>
          <w:p>
            <w:r>
              <w:rPr>
                <w:sz w:val="20"/>
              </w:rPr>
              <w:t>0.753</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Logistic Regression</w:t>
            </w:r>
          </w:p>
        </w:tc>
        <w:tc>
          <w:tcPr>
            <w:tcW w:type="dxa" w:w="1134"/>
          </w:tcPr>
          <w:p>
            <w:r>
              <w:rPr>
                <w:sz w:val="20"/>
              </w:rPr>
              <w:t>0.681</w:t>
            </w:r>
          </w:p>
        </w:tc>
        <w:tc>
          <w:tcPr>
            <w:tcW w:type="dxa" w:w="1134"/>
          </w:tcPr>
          <w:p>
            <w:r>
              <w:rPr>
                <w:sz w:val="20"/>
              </w:rPr>
              <w:t>0.225</w:t>
            </w:r>
          </w:p>
        </w:tc>
        <w:tc>
          <w:tcPr>
            <w:tcW w:type="dxa" w:w="1417"/>
          </w:tcPr>
          <w:p>
            <w:r>
              <w:rPr>
                <w:sz w:val="20"/>
              </w:rPr>
              <w:t>0.535</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Random Forest</w:t>
            </w:r>
          </w:p>
        </w:tc>
        <w:tc>
          <w:tcPr>
            <w:tcW w:type="dxa" w:w="1134"/>
            <w:shd w:val="clear" w:color="auto" w:fill="F2F2F2"/>
          </w:tcPr>
          <w:p>
            <w:r>
              <w:rPr>
                <w:sz w:val="20"/>
              </w:rPr>
              <w:t>0.731</w:t>
            </w:r>
          </w:p>
        </w:tc>
        <w:tc>
          <w:tcPr>
            <w:tcW w:type="dxa" w:w="1134"/>
            <w:shd w:val="clear" w:color="auto" w:fill="F2F2F2"/>
          </w:tcPr>
          <w:p>
            <w:r>
              <w:rPr>
                <w:sz w:val="20"/>
              </w:rPr>
              <w:t>0.175</w:t>
            </w:r>
          </w:p>
        </w:tc>
        <w:tc>
          <w:tcPr>
            <w:tcW w:type="dxa" w:w="1417"/>
            <w:shd w:val="clear" w:color="auto" w:fill="F2F2F2"/>
          </w:tcPr>
          <w:p>
            <w:r>
              <w:rPr>
                <w:sz w:val="20"/>
              </w:rPr>
              <w:t>0.855</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XGBoost</w:t>
            </w:r>
          </w:p>
        </w:tc>
        <w:tc>
          <w:tcPr>
            <w:tcW w:type="dxa" w:w="1134"/>
          </w:tcPr>
          <w:p>
            <w:r>
              <w:rPr>
                <w:sz w:val="20"/>
              </w:rPr>
              <w:t>0.720</w:t>
            </w:r>
          </w:p>
        </w:tc>
        <w:tc>
          <w:tcPr>
            <w:tcW w:type="dxa" w:w="1134"/>
          </w:tcPr>
          <w:p>
            <w:r>
              <w:rPr>
                <w:sz w:val="20"/>
              </w:rPr>
              <w:t>0.223</w:t>
            </w:r>
          </w:p>
        </w:tc>
        <w:tc>
          <w:tcPr>
            <w:tcW w:type="dxa" w:w="1417"/>
          </w:tcPr>
          <w:p>
            <w:r>
              <w:rPr>
                <w:sz w:val="20"/>
              </w:rPr>
              <w:t>0.886</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LightGBM</w:t>
            </w:r>
          </w:p>
        </w:tc>
        <w:tc>
          <w:tcPr>
            <w:tcW w:type="dxa" w:w="1134"/>
            <w:shd w:val="clear" w:color="auto" w:fill="F2F2F2"/>
          </w:tcPr>
          <w:p>
            <w:r>
              <w:rPr>
                <w:sz w:val="20"/>
              </w:rPr>
              <w:t>0.715</w:t>
            </w:r>
          </w:p>
        </w:tc>
        <w:tc>
          <w:tcPr>
            <w:tcW w:type="dxa" w:w="1134"/>
            <w:shd w:val="clear" w:color="auto" w:fill="F2F2F2"/>
          </w:tcPr>
          <w:p>
            <w:r>
              <w:rPr>
                <w:sz w:val="20"/>
              </w:rPr>
              <w:t>0.186</w:t>
            </w:r>
          </w:p>
        </w:tc>
        <w:tc>
          <w:tcPr>
            <w:tcW w:type="dxa" w:w="1417"/>
            <w:shd w:val="clear" w:color="auto" w:fill="F2F2F2"/>
          </w:tcPr>
          <w:p>
            <w:r>
              <w:rPr>
                <w:sz w:val="20"/>
              </w:rPr>
              <w:t>0.722</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bl>
    <w:p/>
    <w:p>
      <w:pPr>
        <w:spacing w:after="120"/>
      </w:pPr>
      <w:r>
        <w:t>1-Year flare: materially different. Relaxing the cap (12→19 features) improved all three tree models substantially (RF AUROC 0.691→0.731, XGBoost 0.684→0.720, LightGBM 0.664→0.715) with calibration slopes moving much closer to 1.0 (XGBoost 0.506→0.886). LR AUROC fell slightly (0.702→0.681). The EPV-10 cap was genuinely constraining tree-model performance here.</w:t>
      </w:r>
    </w:p>
    <w:p>
      <w:pPr>
        <w:spacing w:after="120"/>
      </w:pPr>
      <w:r>
        <w:t>Serial biopsy: zero difference. LASSO's discrete regularisation path selected the identical 2 features under both caps (the C-search jumps directly from 12 to 2 features with no intermediate value) — neither cap was actually binding.</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