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  <w:r>
        <w:rPr>
          <w:rFonts w:ascii="Times New Roman" w:hAnsi="Times New Roman" w:cs="Times New Roman" w:eastAsia="Times New Roman"/>
          <w:b/>
          <w:i w:val="0"/>
          <w:sz w:val="22"/>
        </w:rPr>
        <w:t>Table 1. Model performance by cohort: discrimination, Brier score, and calibration slope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2168"/>
        <w:gridCol w:w="2168"/>
        <w:gridCol w:w="2168"/>
        <w:gridCol w:w="2168"/>
        <w:gridCol w:w="2168"/>
        <w:gridCol w:w="2168"/>
      </w:tblGrid>
      <w:tr>
        <w:tc>
          <w:tcPr>
            <w:tcW w:type="dxa" w:w="2494"/>
            <w:vMerge w:val="restart"/>
            <w:tcBorders>
              <w:top w:val="nil" w:sz="18" w:color="000000" w:space="0"/>
              <w:bottom w:val="single" w:sz="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Model</w:t>
            </w:r>
          </w:p>
        </w:tc>
        <w:tc>
          <w:tcPr>
            <w:tcW w:type="dxa" w:w="6123"/>
            <w:gridSpan w:val="3"/>
            <w:tcBorders>
              <w:top w:val="single" w:sz="18" w:color="000000" w:space="0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Flare Cohorts</w:t>
            </w:r>
          </w:p>
        </w:tc>
        <w:tc>
          <w:tcPr>
            <w:tcW w:type="dxa" w:w="4082"/>
            <w:gridSpan w:val="2"/>
            <w:tcBorders>
              <w:top w:val="single" w:sz="18" w:color="000000" w:space="0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Kidney Failure (ESRD) Cohorts</w:t>
            </w:r>
          </w:p>
        </w:tc>
      </w:tr>
      <w:tr>
        <w:tc>
          <w:tcPr>
            <w:tcW w:type="dxa" w:w="2494"/>
            <w:vMerge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041"/>
            <w:tcBorders>
              <w:top w:val="nil"/>
              <w:bottom w:val="single" w:sz="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1-Year Flare</w:t>
            </w:r>
          </w:p>
        </w:tc>
        <w:tc>
          <w:tcPr>
            <w:tcW w:type="dxa" w:w="2041"/>
            <w:tcBorders>
              <w:top w:val="nil"/>
              <w:bottom w:val="single" w:sz="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5-Year Flare</w:t>
            </w:r>
          </w:p>
        </w:tc>
        <w:tc>
          <w:tcPr>
            <w:tcW w:type="dxa" w:w="2041"/>
            <w:tcBorders>
              <w:top w:val="nil"/>
              <w:bottom w:val="single" w:sz="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Serial Biopsy</w:t>
            </w:r>
          </w:p>
        </w:tc>
        <w:tc>
          <w:tcPr>
            <w:tcW w:type="dxa" w:w="2041"/>
            <w:tcBorders>
              <w:top w:val="nil"/>
              <w:bottom w:val="single" w:sz="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ESRD 5-Year</w:t>
            </w:r>
          </w:p>
        </w:tc>
        <w:tc>
          <w:tcPr>
            <w:tcW w:type="dxa" w:w="2041"/>
            <w:tcBorders>
              <w:top w:val="nil"/>
              <w:bottom w:val="single" w:sz="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ESRD 10-Year</w:t>
            </w:r>
          </w:p>
        </w:tc>
      </w:tr>
      <w:tr>
        <w:tc>
          <w:tcPr>
            <w:tcW w:type="dxa" w:w="12699"/>
            <w:gridSpan w:val="6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12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(a) Discrimination — AUROC (95% CI)</w:t>
            </w:r>
          </w:p>
        </w:tc>
      </w:tr>
      <w:tr>
        <w:tc>
          <w:tcPr>
            <w:tcW w:type="dxa" w:w="249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Logistic Regression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0.708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(0.55–0.86)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0.673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(0.54–0.79)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0.676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(0.43–0.87)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0.797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(0.67–0.90)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0.811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(0.66–0.90)</w:t>
            </w:r>
          </w:p>
        </w:tc>
      </w:tr>
      <w:tr>
        <w:tc>
          <w:tcPr>
            <w:tcW w:type="dxa" w:w="249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Random Forest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0.690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(0.55–0.83)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0.679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(0.51–0.81)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0.588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(0.32–0.82)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0.787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(0.62–0.90)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0.817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(0.71–0.93)</w:t>
            </w:r>
          </w:p>
        </w:tc>
      </w:tr>
      <w:tr>
        <w:tc>
          <w:tcPr>
            <w:tcW w:type="dxa" w:w="249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XGBoost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0.674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(0.54–0.84)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0.673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(0.48–0.81)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0.648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(0.45–0.82)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0.792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(0.63–0.90)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0.821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(0.70–0.93)</w:t>
            </w:r>
          </w:p>
        </w:tc>
      </w:tr>
      <w:tr>
        <w:tc>
          <w:tcPr>
            <w:tcW w:type="dxa" w:w="249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LightGBM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0.659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(0.53–0.82)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0.678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(0.52–0.79)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0.631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(0.44–0.85)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0.797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(0.65–0.92)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0.809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(0.70–0.93)</w:t>
            </w:r>
          </w:p>
        </w:tc>
      </w:tr>
      <w:tr>
        <w:tc>
          <w:tcPr>
            <w:tcW w:type="dxa" w:w="249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1"/>
              </w:rPr>
              <w:t>TabPFN v3 (Prior Labs)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0.684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18"/>
              </w:rPr>
              <w:t xml:space="preserve"> (0.57–0.83)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0.671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18"/>
              </w:rPr>
              <w:t xml:space="preserve"> (0.51–0.81)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0.626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18"/>
              </w:rPr>
              <w:t xml:space="preserve"> (0.35–0.84)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0.796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18"/>
              </w:rPr>
              <w:t xml:space="preserve"> (0.62–0.90)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0.817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18"/>
              </w:rPr>
              <w:t xml:space="preserve"> (0.71–0.93)</w:t>
            </w:r>
          </w:p>
        </w:tc>
      </w:tr>
      <w:tr>
        <w:tc>
          <w:tcPr>
            <w:tcW w:type="dxa" w:w="12699"/>
            <w:gridSpan w:val="6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12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(b) Brier Score</w:t>
            </w:r>
          </w:p>
        </w:tc>
      </w:tr>
      <w:tr>
        <w:tc>
          <w:tcPr>
            <w:tcW w:type="dxa" w:w="249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Logistic Regression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0.220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0.232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0.235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0.178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0.167</w:t>
            </w:r>
          </w:p>
        </w:tc>
      </w:tr>
      <w:tr>
        <w:tc>
          <w:tcPr>
            <w:tcW w:type="dxa" w:w="249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Random Forest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0.211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0.227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0.251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0.164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0.139</w:t>
            </w:r>
          </w:p>
        </w:tc>
      </w:tr>
      <w:tr>
        <w:tc>
          <w:tcPr>
            <w:tcW w:type="dxa" w:w="249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XGBoost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0.224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0.239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0.249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0.178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0.155</w:t>
            </w:r>
          </w:p>
        </w:tc>
      </w:tr>
      <w:tr>
        <w:tc>
          <w:tcPr>
            <w:tcW w:type="dxa" w:w="249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LightGBM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0.224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0.229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0.240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0.171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0.140</w:t>
            </w:r>
          </w:p>
        </w:tc>
      </w:tr>
      <w:tr>
        <w:tc>
          <w:tcPr>
            <w:tcW w:type="dxa" w:w="249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1"/>
              </w:rPr>
              <w:t>TabPFN v3 (Prior Labs)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0.166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0.230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0.251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0.100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0.122</w:t>
            </w:r>
          </w:p>
        </w:tc>
      </w:tr>
      <w:tr>
        <w:tc>
          <w:tcPr>
            <w:tcW w:type="dxa" w:w="12699"/>
            <w:gridSpan w:val="6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12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(c) Calibration Slope</w:t>
            </w:r>
          </w:p>
        </w:tc>
      </w:tr>
      <w:tr>
        <w:tc>
          <w:tcPr>
            <w:tcW w:type="dxa" w:w="249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Logistic Regression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0.719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0.669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0.570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0.873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0.874</w:t>
            </w:r>
          </w:p>
        </w:tc>
      </w:tr>
      <w:tr>
        <w:tc>
          <w:tcPr>
            <w:tcW w:type="dxa" w:w="249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Random Forest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0.849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0.827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0.320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1.013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1.152</w:t>
            </w:r>
          </w:p>
        </w:tc>
      </w:tr>
      <w:tr>
        <w:tc>
          <w:tcPr>
            <w:tcW w:type="dxa" w:w="249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XGBoost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0.835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0.705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0.053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1.288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0.963</w:t>
            </w:r>
          </w:p>
        </w:tc>
      </w:tr>
      <w:tr>
        <w:tc>
          <w:tcPr>
            <w:tcW w:type="dxa" w:w="249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LightGBM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0.686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0.878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0.346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1.053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0.714</w:t>
            </w:r>
          </w:p>
        </w:tc>
      </w:tr>
      <w:tr>
        <w:tc>
          <w:tcPr>
            <w:tcW w:type="dxa" w:w="2494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1"/>
              </w:rPr>
              <w:t>TabPFN v3 (Prior Labs)</w:t>
            </w:r>
          </w:p>
        </w:tc>
        <w:tc>
          <w:tcPr>
            <w:tcW w:type="dxa" w:w="2041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0.747</w:t>
            </w:r>
          </w:p>
        </w:tc>
        <w:tc>
          <w:tcPr>
            <w:tcW w:type="dxa" w:w="2041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0.734</w:t>
            </w:r>
          </w:p>
        </w:tc>
        <w:tc>
          <w:tcPr>
            <w:tcW w:type="dxa" w:w="2041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0.190</w:t>
            </w:r>
          </w:p>
        </w:tc>
        <w:tc>
          <w:tcPr>
            <w:tcW w:type="dxa" w:w="2041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0.891</w:t>
            </w:r>
          </w:p>
        </w:tc>
        <w:tc>
          <w:tcPr>
            <w:tcW w:type="dxa" w:w="2041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0.904</w:t>
            </w:r>
          </w:p>
        </w:tc>
      </w:tr>
    </w:tbl>
    <w:p>
      <w:pPr>
        <w:spacing w:before="120" w:after="360"/>
      </w:pPr>
      <w:r>
        <w:rPr>
          <w:rFonts w:ascii="Times New Roman" w:hAnsi="Times New Roman" w:cs="Times New Roman" w:eastAsia="Times New Roman"/>
          <w:b w:val="0"/>
          <w:i/>
          <w:sz w:val="18"/>
        </w:rPr>
        <w:t>TabPFN v3 shown in italics for reference throughout; not included in formal pairwise significance testing (DeLong's test) or bootstrap correction.</w:t>
      </w:r>
    </w:p>
    <w:p>
      <w:pPr>
        <w:spacing w:before="120" w:after="360"/>
      </w:pPr>
      <w:r>
        <w:rPr>
          <w:rFonts w:ascii="Times New Roman" w:hAnsi="Times New Roman" w:cs="Times New Roman" w:eastAsia="Times New Roman"/>
          <w:b w:val="0"/>
          <w:i/>
          <w:sz w:val="18"/>
        </w:rPr>
        <w:t>Serial Biopsy (all three panels) should be treated as exploratory: n=70 (34 events) produces wide confidence intervals in panel (a) and degenerate calibration in panels (b)/(c) (e.g. XGBoost's slope of 0.053 reflects near-constant predictions, not a data error) — this cohort is formally underpowered by standard minimum sample-size criteria for prediction model development (Riley et al. 2020, BMJ 368:m441).</w:t>
      </w:r>
    </w:p>
    <w:sectPr w:rsidR="00FC693F" w:rsidRPr="0006063C" w:rsidSect="00034616">
      <w:pgSz w:w="15840" w:h="12240" w:orient="landscape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