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Times New Roman" w:hAnsi="Times New Roman" w:cs="Times New Roman" w:eastAsia="Times New Roman"/>
          <w:b/>
          <w:i w:val="0"/>
          <w:sz w:val="22"/>
        </w:rPr>
        <w:t>Table 1. Prior machine-learning studies in lupus nephritis.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1417"/>
        <w:gridCol w:w="1814"/>
        <w:gridCol w:w="1077"/>
        <w:gridCol w:w="1020"/>
        <w:gridCol w:w="1361"/>
        <w:gridCol w:w="2948"/>
      </w:tblGrid>
      <w:tr>
        <w:tc>
          <w:tcPr>
            <w:tcW w:type="dxa" w:w="1417"/>
            <w:tcBorders>
              <w:top w:val="single" w:sz="18" w:color="000000" w:space="0"/>
              <w:bottom w:val="single" w:sz="8" w:color="000000" w:space="0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Study</w:t>
            </w:r>
          </w:p>
        </w:tc>
        <w:tc>
          <w:tcPr>
            <w:tcW w:type="dxa" w:w="1814"/>
            <w:tcBorders>
              <w:top w:val="single" w:sz="18" w:color="000000" w:space="0"/>
              <w:bottom w:val="single" w:sz="8" w:color="000000" w:space="0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Design / cohort</w:t>
            </w:r>
          </w:p>
        </w:tc>
        <w:tc>
          <w:tcPr>
            <w:tcW w:type="dxa" w:w="1077"/>
            <w:tcBorders>
              <w:top w:val="single" w:sz="18" w:color="000000" w:space="0"/>
              <w:bottom w:val="single" w:sz="8" w:color="000000" w:space="0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Method</w:t>
            </w:r>
          </w:p>
        </w:tc>
        <w:tc>
          <w:tcPr>
            <w:tcW w:type="dxa" w:w="1020"/>
            <w:tcBorders>
              <w:top w:val="single" w:sz="18" w:color="000000" w:space="0"/>
              <w:bottom w:val="single" w:sz="8" w:color="000000" w:space="0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Outcome</w:t>
            </w:r>
          </w:p>
        </w:tc>
        <w:tc>
          <w:tcPr>
            <w:tcW w:type="dxa" w:w="1361"/>
            <w:tcBorders>
              <w:top w:val="single" w:sz="18" w:color="000000" w:space="0"/>
              <w:bottom w:val="single" w:sz="8" w:color="000000" w:space="0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Performance</w:t>
            </w:r>
          </w:p>
        </w:tc>
        <w:tc>
          <w:tcPr>
            <w:tcW w:type="dxa" w:w="2948"/>
            <w:tcBorders>
              <w:top w:val="single" w:sz="18" w:color="000000" w:space="0"/>
              <w:bottom w:val="single" w:sz="8" w:color="000000" w:space="0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Key limitation</w:t>
            </w:r>
          </w:p>
        </w:tc>
      </w:tr>
      <w:tr>
        <w:tc>
          <w:tcPr>
            <w:tcW w:type="dxa" w:w="1417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Chen et al.</w:t>
            </w:r>
            <w:r>
              <w:br/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(2021)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1,694 biopsy-proven patients; 59 variables</w:t>
            </w:r>
          </w:p>
        </w:tc>
        <w:tc>
          <w:tcPr>
            <w:tcW w:type="dxa" w:w="1077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XGBoost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5-year flare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AUROC 0.819</w:t>
            </w:r>
          </w:p>
        </w:tc>
        <w:tc>
          <w:tcPr>
            <w:tcW w:type="dxa" w:w="294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Long horizon; histopathology entered as composite scores</w:t>
            </w:r>
          </w:p>
        </w:tc>
      </w:tr>
      <w:tr>
        <w:tc>
          <w:tcPr>
            <w:tcW w:type="dxa" w:w="1417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Huang et al.</w:t>
            </w:r>
            <w:r>
              <w:br/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(2024)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Longitudinal time-series (repeat measurements)</w:t>
            </w:r>
          </w:p>
        </w:tc>
        <w:tc>
          <w:tcPr>
            <w:tcW w:type="dxa" w:w="1077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LSTM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Flare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C-index 0.897</w:t>
            </w:r>
          </w:p>
        </w:tc>
        <w:tc>
          <w:tcPr>
            <w:tcW w:type="dxa" w:w="294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Interpretability limited to global feature importance</w:t>
            </w:r>
          </w:p>
        </w:tc>
      </w:tr>
      <w:tr>
        <w:tc>
          <w:tcPr>
            <w:tcW w:type="dxa" w:w="1417"/>
            <w:tcBorders>
              <w:top w:val="nil"/>
              <w:bottom w:val="single" w:sz="18" w:color="000000" w:space="0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Chen et al.</w:t>
            </w:r>
            <w:r>
              <w:br/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(2022)</w:t>
            </w:r>
          </w:p>
        </w:tc>
        <w:tc>
          <w:tcPr>
            <w:tcW w:type="dxa" w:w="1814"/>
            <w:tcBorders>
              <w:top w:val="nil"/>
              <w:bottom w:val="single" w:sz="18" w:color="000000" w:space="0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Incorporates polygenic risk scores</w:t>
            </w:r>
          </w:p>
        </w:tc>
        <w:tc>
          <w:tcPr>
            <w:tcW w:type="dxa" w:w="1077"/>
            <w:tcBorders>
              <w:top w:val="nil"/>
              <w:bottom w:val="single" w:sz="18" w:color="000000" w:space="0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ML + genomic data</w:t>
            </w:r>
          </w:p>
        </w:tc>
        <w:tc>
          <w:tcPr>
            <w:tcW w:type="dxa" w:w="1020"/>
            <w:tcBorders>
              <w:top w:val="nil"/>
              <w:bottom w:val="single" w:sz="18" w:color="000000" w:space="0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Flare</w:t>
            </w:r>
          </w:p>
        </w:tc>
        <w:tc>
          <w:tcPr>
            <w:tcW w:type="dxa" w:w="1361"/>
            <w:tcBorders>
              <w:top w:val="nil"/>
              <w:bottom w:val="single" w:sz="18" w:color="000000" w:space="0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Improved over baseline (Δ not reported)</w:t>
            </w:r>
          </w:p>
        </w:tc>
        <w:tc>
          <w:tcPr>
            <w:tcW w:type="dxa" w:w="2948"/>
            <w:tcBorders>
              <w:top w:val="nil"/>
              <w:bottom w:val="single" w:sz="18" w:color="000000" w:space="0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Genomic data requirement limits routine applicability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