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Results</w:t>
        <w:br/>
        <w:t>1-Year Flare · 5-Year Flare · Serial Biopsy · ESRD 5yr/10yr · TabPFN v3 Benchmark</w:t>
      </w:r>
    </w:p>
    <w:p/>
    <w:p>
      <w:pPr>
        <w:jc w:val="center"/>
      </w:pPr>
      <w:r>
        <w:rPr>
          <w:sz w:val="22"/>
        </w:rPr>
        <w:t>Generated: 05 August 2026</w:t>
      </w:r>
    </w:p>
    <w:p>
      <w:pPr>
        <w:spacing w:after="120"/>
      </w:pPr>
      <w:r>
        <w:t>Companion document to Lupus_Project_Methods.docx. Contains results tables only — see the Methods document for full methodology, feature selection detail, and data preparation.</w:t>
      </w:r>
    </w:p>
    <w:p>
      <w:r>
        <w:br w:type="page"/>
      </w:r>
    </w:p>
    <w:p>
      <w:pPr>
        <w:pStyle w:val="Heading1"/>
        <w:spacing w:before="280" w:after="80"/>
      </w:pPr>
      <w:r>
        <w:t>1. Cohort Summary</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spacing w:after="120"/>
      </w:pPr>
      <w:r>
        <w:t>Class imbalance handling: Logistic Regression / Random Forest / LightGBM used class_weight='balanced'; XGBoost used scale_pos_weight = n_negative / n_positive (values: 1yr 3.34, 5yr 1.14, serial 1.06, ESRD 5yr 6.11, ESRD 10yr 3.55).</w:t>
      </w:r>
    </w:p>
    <w:p>
      <w:pPr>
        <w:pStyle w:val="Heading1"/>
        <w:spacing w:before="280" w:after="80"/>
      </w:pPr>
      <w:r>
        <w:t>2. Best Hyperparameters</w:t>
      </w:r>
    </w:p>
    <w:p>
      <w:pPr>
        <w:spacing w:after="120"/>
      </w:pPr>
      <w:r>
        <w:t>Logistic Regression was not tuned (C=1.0 fixed, no additional regularisation beyond class weighting). Random Forest, XGBoost, and LightGBM were tuned via RandomizedSearchCV (scoring=AUROC).</w:t>
      </w:r>
    </w:p>
    <w:p>
      <w:pPr>
        <w:pStyle w:val="Heading2"/>
        <w:spacing w:before="160" w:after="80"/>
      </w:pPr>
      <w:r>
        <w:t>1-Year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pStyle w:val="Heading2"/>
        <w:spacing w:before="160" w:after="80"/>
      </w:pPr>
      <w:r>
        <w:t>5-Year flare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pStyle w:val="Heading2"/>
        <w:spacing w:before="160" w:after="80"/>
      </w:pPr>
      <w:r>
        <w:t>Serial biopsy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pStyle w:val="Heading2"/>
        <w:spacing w:before="160" w:after="80"/>
      </w:pPr>
      <w:r>
        <w:t>ESRD 5-Year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pStyle w:val="Heading2"/>
        <w:spacing w:before="160" w:after="80"/>
      </w:pPr>
      <w:r>
        <w:t>ESRD 10-Year</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1"/>
        <w:spacing w:before="280" w:after="80"/>
      </w:pPr>
      <w:r>
        <w:t>3. Model Performance (CV + Harrell Bootstrap)</w:t>
      </w:r>
    </w:p>
    <w:p>
      <w:pPr>
        <w:pStyle w:val="Heading2"/>
        <w:spacing w:before="160" w:after="80"/>
      </w:pPr>
      <w:r>
        <w:t>3.1 1-Year Flare</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highest CV AUROC (0.708), lowest optimism. Random Forest: best calibration slope (0.849) and highest BC AUROC (0.730). No model exceeded AUROC 0.75.</w:t>
      </w:r>
    </w:p>
    <w:p>
      <w:pPr>
        <w:pStyle w:val="Heading2"/>
        <w:spacing w:before="160" w:after="80"/>
      </w:pPr>
      <w:r>
        <w:t>3.2 5-Year Flare</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w:t>
      </w:r>
    </w:p>
    <w:p>
      <w:pPr>
        <w:pStyle w:val="Heading2"/>
        <w:spacing w:before="160" w:after="80"/>
      </w:pPr>
      <w:r>
        <w:t>3.3 Serial Biopsy</w:t>
      </w:r>
    </w:p>
    <w:p>
      <w:pPr>
        <w:spacing w:after="120"/>
      </w:pPr>
      <w:r>
        <w:t>n=70, 34 events (48.6%), 2 predictors. 5×5-fold CV. Exploratory given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best-performing (CV AUROC 0.676). XGBoost calibration slope of 0.053 indicates near-constant predictions (severe miscalibration) at this sample size.</w:t>
      </w:r>
    </w:p>
    <w:p>
      <w:pPr>
        <w:pStyle w:val="Heading2"/>
        <w:spacing w:before="160" w:after="80"/>
      </w:pPr>
      <w:r>
        <w:t>3.4 ESRD 5-Year</w:t>
      </w:r>
    </w:p>
    <w:p>
      <w:pPr>
        <w:spacing w:after="120"/>
      </w:pPr>
      <w:r>
        <w:t>n=796, 112 events (14.1%), 5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similar CV AUROCs (0.787–0.797) with small Harrell optimism (0.007–0.047). LightGBM had the highest BC AUROC (0.808); Random Forest achieved near-perfect calibration (slope 1.013).</w:t>
      </w:r>
    </w:p>
    <w:p>
      <w:pPr>
        <w:pStyle w:val="Heading2"/>
        <w:spacing w:before="160" w:after="80"/>
      </w:pPr>
      <w:r>
        <w:t>3.5 ESRD 10-Year</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LightGBM achieved the highest BC AUROC (0.926) despite slightly lower CV AUROC. Larger optimism corrections at 10 years reflect the greater model complexity (17 predictors).</w:t>
      </w:r>
    </w:p>
    <w:p>
      <w:pPr>
        <w:pStyle w:val="Heading1"/>
        <w:spacing w:before="280" w:after="80"/>
      </w:pPr>
      <w:r>
        <w:t>4. Pairwise Model Comparison — DeLong's Test</w:t>
      </w:r>
    </w:p>
    <w:p>
      <w:pPr>
        <w:spacing w:after="120"/>
      </w:pPr>
      <w:r>
        <w:t>DeLong's test on out-of-fold CV predictions, Bonferroni-Holm corrected across the 6 pairwise comparisons within each cohort.</w:t>
      </w:r>
    </w:p>
    <w:p>
      <w:pPr>
        <w:pStyle w:val="Heading2"/>
        <w:spacing w:before="160" w:after="80"/>
      </w:pPr>
      <w:r>
        <w:t>4.1 1-Year Flare</w:t>
      </w:r>
    </w:p>
    <w:p>
      <w:pPr>
        <w:spacing w:after="120"/>
      </w:pPr>
      <w:r>
        <w:t>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Random Forest outperformed LightGBM (p=0.006 Holm). No model beat Logistic Regression after correction.</w:t>
      </w:r>
    </w:p>
    <w:p>
      <w:pPr>
        <w:pStyle w:val="Heading2"/>
        <w:spacing w:before="160" w:after="80"/>
      </w:pPr>
      <w:r>
        <w:t>4.2 5-Year Flare</w:t>
      </w:r>
    </w:p>
    <w:p>
      <w:pPr>
        <w:spacing w:after="120"/>
      </w:pPr>
      <w:r>
        <w:t>No significant pairwise differences after Holm correction (all adjusted p ≥ 1.0). OOF AUROCs: LR=0.666, RF=0.677, XGB=0.666, LGBM=0.681.</w:t>
      </w:r>
    </w:p>
    <w:p>
      <w:pPr>
        <w:pStyle w:val="Heading2"/>
        <w:spacing w:before="160" w:after="80"/>
      </w:pPr>
      <w:r>
        <w:t>4.3 Serial Biopsy</w:t>
      </w:r>
    </w:p>
    <w:p>
      <w:pPr>
        <w:spacing w:after="120"/>
      </w:pPr>
      <w:r>
        <w:t>No significant pairwise differences after correction (all adjusted p ≥ 0.26). Expected given n=70.</w:t>
      </w:r>
    </w:p>
    <w:p>
      <w:pPr>
        <w:pStyle w:val="Heading2"/>
        <w:spacing w:before="160" w:after="80"/>
      </w:pPr>
      <w:r>
        <w:t>4.4 ESRD 5-Year</w:t>
      </w:r>
    </w:p>
    <w:p>
      <w:pPr>
        <w:spacing w:after="120"/>
      </w:pPr>
      <w:r>
        <w:t>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after Holm correction (all adjusted p ≥ 0.239). Models essentially equivalent with 5 features and 112 events.</w:t>
      </w:r>
    </w:p>
    <w:p>
      <w:pPr>
        <w:pStyle w:val="Heading2"/>
        <w:spacing w:before="160" w:after="80"/>
      </w:pPr>
      <w:r>
        <w:t>4.5 ESRD 10-Year</w:t>
      </w:r>
    </w:p>
    <w:p>
      <w:pPr>
        <w:spacing w:after="120"/>
      </w:pPr>
      <w:r>
        <w:t>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(all adjusted p = 1.000). Models indistinguishable in discrimination on OOF predictions.</w:t>
      </w:r>
    </w:p>
    <w:p>
      <w:pPr>
        <w:pStyle w:val="Heading1"/>
        <w:spacing w:before="280" w:after="80"/>
      </w:pPr>
      <w:r>
        <w:t>5. SHAP Feature Importance</w:t>
      </w:r>
    </w:p>
    <w:p>
      <w:pPr>
        <w:spacing w:after="120"/>
      </w:pPr>
      <w:r>
        <w:t>Mean |SHAP| per feature per model, sorted by cross-model mean. Serial biopsy (2 predictors) omitted — not separately computed.</w:t>
      </w:r>
    </w:p>
    <w:p>
      <w:pPr>
        <w:pStyle w:val="Heading2"/>
        <w:spacing w:before="160" w:after="80"/>
      </w:pPr>
      <w:r>
        <w:t>5.1 1-Year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pStyle w:val="Heading2"/>
        <w:spacing w:before="160" w:after="80"/>
      </w:pPr>
      <w:r>
        <w:t>5.2 5-Year Flare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pStyle w:val="Heading2"/>
        <w:spacing w:before="160" w:after="80"/>
      </w:pPr>
      <w:r>
        <w:t>5.3 ESRD 5-Year</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pStyle w:val="Heading2"/>
        <w:spacing w:before="160" w:after="80"/>
      </w:pPr>
      <w:r>
        <w:t>5.4 ESRD 10-Year (top 10)</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pStyle w:val="Heading1"/>
        <w:spacing w:before="280" w:after="80"/>
      </w:pPr>
      <w:r>
        <w:t>6. TabPFN v3 Benchmark</w:t>
      </w:r>
    </w:p>
    <w:p>
      <w:pPr>
        <w:spacing w:after="120"/>
      </w:pPr>
      <w:r>
        <w:t>TabPFN v3 (Prior Labs hosted API, tabpfn_client==0.3.1) benchmarked against the four main classifiers using the same 5×10-fold CV protocol, all four cohorts.</w:t>
      </w:r>
    </w:p>
    <w:p>
      <w:pPr>
        <w:pStyle w:val="Heading2"/>
        <w:spacing w:before="160" w:after="80"/>
      </w:pPr>
      <w:r>
        <w:t>6.1 1-Year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pStyle w:val="Heading2"/>
        <w:spacing w:before="160" w:after="80"/>
      </w:pPr>
      <w:r>
        <w:t>6.2 5-Year Flare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pStyle w:val="Heading2"/>
        <w:spacing w:before="160" w:after="80"/>
      </w:pPr>
      <w:r>
        <w:t>6.3 ESRD 5-Year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tied the best AUROC and had a markedly lower Brier score (0.100 vs 0.164–0.178) — the largest calibration advantage seen in this benchmark.</w:t>
      </w:r>
    </w:p>
    <w:p>
      <w:pPr>
        <w:pStyle w:val="Heading2"/>
        <w:spacing w:before="160" w:after="80"/>
      </w:pPr>
      <w:r>
        <w:t>6.4 ESRD 10-Year</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(Brier 0.122).</w:t>
      </w:r>
    </w:p>
    <w:p>
      <w:pPr>
        <w:spacing w:after="120"/>
      </w:pPr>
      <w:r>
        <w:t>Across all four cohorts, TabPFN v3's main advantage is consistently calibration (Brier score), not discrimination (AUROC) — it matches but does not exceed the best-tuned model's AUROC in every case.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