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1. Discrimination (AUROC, 95% CI) by model and cohort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168"/>
        <w:gridCol w:w="2168"/>
        <w:gridCol w:w="2168"/>
        <w:gridCol w:w="2168"/>
        <w:gridCol w:w="2168"/>
        <w:gridCol w:w="2168"/>
      </w:tblGrid>
      <w:tr>
        <w:tc>
          <w:tcPr>
            <w:tcW w:type="dxa" w:w="2494"/>
            <w:vMerge w:val="restart"/>
            <w:tcBorders>
              <w:top w:val="nil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Model</w:t>
            </w:r>
          </w:p>
        </w:tc>
        <w:tc>
          <w:tcPr>
            <w:tcW w:type="dxa" w:w="6123"/>
            <w:gridSpan w:val="3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Flare Cohorts</w:t>
            </w:r>
          </w:p>
        </w:tc>
        <w:tc>
          <w:tcPr>
            <w:tcW w:type="dxa" w:w="4082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Kidney Failure (ESRD) Cohorts</w:t>
            </w:r>
          </w:p>
        </w:tc>
      </w:tr>
      <w:tr>
        <w:tc>
          <w:tcPr>
            <w:tcW w:type="dxa" w:w="2494"/>
            <w:vMerge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1-Year Flare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5-Year Flare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Serial Biopsy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5-Year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10-Year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0.708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(0.55–0.86)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(0.54–0.79)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0.676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(0.43–0.87)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0.797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(0.67–0.90)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0.811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(0.66–0.90)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0.690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(0.55–0.83)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0.679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(0.51–0.81)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0.588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(0.32–0.82)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0.787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(0.62–0.90)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0.817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(0.71–0.93)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0.674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(0.54–0.84)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(0.48–0.81)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0.648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(0.45–0.82)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0.792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(0.63–0.90)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0.821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(0.70–0.93)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0.659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(0.53–0.82)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0.678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(0.52–0.79)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0.631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(0.44–0.85)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0.797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(0.65–0.92)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0.809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(0.70–0.93)</w:t>
            </w:r>
          </w:p>
        </w:tc>
      </w:tr>
      <w:tr>
        <w:tc>
          <w:tcPr>
            <w:tcW w:type="dxa" w:w="249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 (Prior Labs)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0.684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(0.57–0.83)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0.671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(0.51–0.81)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0.626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(0.35–0.84)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0.796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(0.62–0.90)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0.817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(0.71–0.93)</w:t>
            </w:r>
          </w:p>
        </w:tc>
      </w:tr>
    </w:tbl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TabPFN v3 shown in italics for reference; not included in formal pairwise significance testing (DeLong's test) or bootstrap correction.</w:t>
      </w:r>
    </w:p>
    <w:p>
      <w:pPr>
        <w:spacing w:before="120" w:after="720"/>
      </w:pPr>
      <w:r>
        <w:rPr>
          <w:rFonts w:ascii="Times New Roman" w:hAnsi="Times New Roman" w:cs="Times New Roman" w:eastAsia="Times New Roman"/>
          <w:b w:val="0"/>
          <w:i/>
          <w:sz w:val="18"/>
        </w:rPr>
        <w:t>Serial Biopsy confidence intervals are wide (n=70, 34 events) — treat this column as exploratory; see Section 12 of the Methods document for the formal sample-size justification.</w:t>
      </w:r>
    </w:p>
    <w:p>
      <w:pPr>
        <w:spacing w:before="240" w:after="160"/>
      </w:pPr>
      <w:r>
        <w:rPr>
          <w:rFonts w:ascii="Times New Roman" w:hAnsi="Times New Roman" w:cs="Times New Roman" w:eastAsia="Times New Roman"/>
          <w:b/>
          <w:i w:val="0"/>
          <w:sz w:val="22"/>
        </w:rPr>
        <w:t>Table 2. Calibration performance (Brier score, calibration slope) by model and cohort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2168"/>
        <w:gridCol w:w="2168"/>
        <w:gridCol w:w="2168"/>
        <w:gridCol w:w="2168"/>
        <w:gridCol w:w="2168"/>
        <w:gridCol w:w="2168"/>
      </w:tblGrid>
      <w:tr>
        <w:tc>
          <w:tcPr>
            <w:tcW w:type="dxa" w:w="2494"/>
            <w:vMerge w:val="restart"/>
            <w:tcBorders>
              <w:top w:val="nil" w:sz="18" w:color="000000" w:space="0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Model</w:t>
            </w:r>
          </w:p>
        </w:tc>
        <w:tc>
          <w:tcPr>
            <w:tcW w:type="dxa" w:w="6123"/>
            <w:gridSpan w:val="3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Flare Cohorts</w:t>
            </w:r>
          </w:p>
        </w:tc>
        <w:tc>
          <w:tcPr>
            <w:tcW w:type="dxa" w:w="4082"/>
            <w:gridSpan w:val="2"/>
            <w:tcBorders>
              <w:top w:val="single" w:sz="18" w:color="000000" w:space="0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Kidney Failure (ESRD) Cohorts</w:t>
            </w:r>
          </w:p>
        </w:tc>
      </w:tr>
      <w:tr>
        <w:tc>
          <w:tcPr>
            <w:tcW w:type="dxa" w:w="2494"/>
            <w:vMerge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1-Year Flare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5-Year Flare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Serial Biopsy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5-Year</w:t>
            </w:r>
          </w:p>
        </w:tc>
        <w:tc>
          <w:tcPr>
            <w:tcW w:type="dxa" w:w="2041"/>
            <w:tcBorders>
              <w:top w:val="nil"/>
              <w:bottom w:val="single" w:sz="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ESRD 10-Year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Logistic Regression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0.719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0.232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0.669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0.235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0.570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0.178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0.873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0.167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0.874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Random Forest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0.211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0.849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0.227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0.827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0.251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0.320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0.164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1.013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Brier 0.139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1.152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XGBoost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0.224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0.835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0.239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0.705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0.249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0.053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0.178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1.288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0.155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0.963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494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LightGBM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0.224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0.686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0.229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0.878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0.240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0.346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0.171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1.053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  <w:tc>
          <w:tcPr>
            <w:tcW w:type="dxa" w:w="2041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Brier 0.140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 xml:space="preserve"> (Cal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0.714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494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1"/>
              </w:rPr>
              <w:t>TabPFN v3 (Prior Labs)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0.166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(Cal 0.747)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0.230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(Cal 0.734)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0.251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(Cal 0.190)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0.100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(Cal 0.891)</w:t>
            </w:r>
          </w:p>
        </w:tc>
        <w:tc>
          <w:tcPr>
            <w:tcW w:type="dxa" w:w="2041"/>
            <w:tcBorders>
              <w:top w:val="nil"/>
              <w:bottom w:val="single" w:sz="18" w:color="000000" w:space="0"/>
              <w:left w:val="nil"/>
              <w:right w:val="nil"/>
              <w:insideH w:val="nil"/>
              <w:insideV w:val="nil"/>
            </w:tcBorders>
            <w:vAlign w:val="center"/>
          </w:tcPr>
          <w:p>
            <w:pPr>
              <w:spacing w:after="60" w:befor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2"/>
              </w:rPr>
              <w:t>Brier 0.122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18"/>
              </w:rPr>
              <w:t xml:space="preserve"> (Cal 0.904)</w:t>
            </w:r>
          </w:p>
        </w:tc>
      </w:tr>
    </w:tbl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Bold Brier score = lowest (best) in that column among the four main classifiers. Bold calibration slope = closest to the ideal value of 1.0 in that column among the four main classifiers (independent criterion from Brier score). TabPFN v3 shown in italics for reference; not included in formal pairwise significance testing (DeLong's test) or bootstrap correction.</w:t>
      </w:r>
    </w:p>
    <w:p>
      <w:pPr>
        <w:spacing w:before="120" w:after="360"/>
      </w:pPr>
      <w:r>
        <w:rPr>
          <w:rFonts w:ascii="Times New Roman" w:hAnsi="Times New Roman" w:cs="Times New Roman" w:eastAsia="Times New Roman"/>
          <w:b w:val="0"/>
          <w:i/>
          <w:sz w:val="18"/>
        </w:rPr>
        <w:t>Serial Biopsy calibration is degenerate for all five models at this sample size (e.g. XGBoost slope=0.053 reflects near-constant predictions, not a data error) — these values should not be compared against the other cohorts at face value.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