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6"/>
          <w:szCs w:val="16"/>
        </w:rPr>
        <w:t xml:space="preserve">MINO PEPTIDES  |  INTERNAL — SALES TEAM</w:t>
      </w:r>
    </w:p>
    <w:p>
      <w:pPr>
        <w:pBdr>
          <w:bottom w:val="single" w:color="6E746A" w:sz="2" w:space="1"/>
        </w:pBdr>
        <w:spacing w:after="6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REORDER CADENCE CALENDAR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Know exactly when to call for reorders. Never let a patient run out. Never lose a reorder.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00"/>
        <w:gridCol w:w="800"/>
        <w:gridCol w:w="80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COMPOUND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VIALS/MO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DAYS/VIAL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REORDER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CALL DAY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Tirzepatide (any dose)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Weekly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Monthly reorder — call at day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GLP3-RT (any dose)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Weekly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Monthly reorder — call at day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BPC+TB Blend 20mg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or EOD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 — 4-8 wk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BPC-157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KLOW Blend 80mg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or EOD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GLOW Blend 70mg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or EOD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NAD+ 500mg (SC)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3x/week SC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NAD+ 500mg (IV)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Biweekly IV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Schedule next IV at each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MOTS-C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3-5x/week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CJC-1295 5mg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bedtime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Monthly vial — reorder at week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Ipamorelin 5mg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bedtime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Paired with CJC — reorder together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Tesamorelin 5mg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Monthly reorder — high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Semax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intranasal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21-30 day cycles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Selank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14-21 day cycles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PT-141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As needed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Usage varies — check in at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HCG 5,000 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2-3x/week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at 3 weeks — ongoing TRT adjunct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GHK-Cu 50mg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3x/week + procedures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Reorder depends on procedure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Thymosin Alpha-1 5mg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or 3x/week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Ongoing immune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Epithalon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Daily x 10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4 months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PULSED: 10-day cycle every 4-6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4"/>
                <w:szCs w:val="14"/>
              </w:rPr>
              <w:t xml:space="preserve">FoxO4-DRI 10mg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3x/wk x 2-3 weeks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746A"/>
                <w:sz w:val="14"/>
                <w:szCs w:val="14"/>
              </w:rPr>
              <w:t xml:space="preserve">6 weeks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3"/>
                <w:szCs w:val="13"/>
              </w:rPr>
              <w:t xml:space="preserve">PULSED: 2-3 wk cycle, 6-8 wk break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6E746A"/>
          <w:sz w:val="18"/>
          <w:szCs w:val="18"/>
        </w:rPr>
        <w:t xml:space="preserve">THE RULE: CALL 3 DAYS BEFORE THE VIAL RUNS OUT.</w:t>
      </w:r>
    </w:p>
    <w:p>
      <w:pPr>
        <w:spacing w:after="30"/>
      </w:pPr>
      <w:r>
        <w:rPr>
          <w:rFonts w:ascii="Arial" w:cs="Arial" w:eastAsia="Arial" w:hAnsi="Arial"/>
          <w:color w:val="2C2C2C"/>
          <w:sz w:val="17"/>
          <w:szCs w:val="17"/>
        </w:rPr>
        <w:t xml:space="preserve">If a patient's protocol is 28 days per vial, you call on day 25. If it's 14 days per vial and they order 2/month, you call on day 18 of the month. Never wait for the patient to call you — proactive reorder outreach is the #1 driver of retention.</w:t>
      </w:r>
    </w:p>
    <w:p>
      <w:pPr>
        <w:spacing w:after="3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PULSED COMPOUNDS (Epithalon, FoxO4-DRI): Set a calendar reminder for the next cycle date when the patient completes their current cycle. These are your follow-up touchpoints — and an opportunity to expand the protocol.</w:t>
      </w:r>
    </w:p>
    <w:p>
      <w:pPr>
        <w:pBdr>
          <w:top w:val="single" w:color="CCCCCC" w:sz="1" w:space="1"/>
        </w:pBdr>
        <w:spacing w:before="120"/>
      </w:pPr>
    </w:p>
    <w:p>
      <w:pPr>
        <w:spacing w:before="40"/>
      </w:pPr>
      <w:r>
        <w:rPr>
          <w:rFonts w:ascii="Arial" w:cs="Arial" w:eastAsia="Arial" w:hAnsi="Arial"/>
          <w:color w:val="888888"/>
          <w:sz w:val="13"/>
          <w:szCs w:val="13"/>
        </w:rPr>
        <w:t xml:space="preserve">INTERNAL. Cynthia: cynthia@mino.life | Sam: sam@mino.life | © 2026 Mino Peptides LLC</w:t>
      </w:r>
    </w:p>
    <w:sectPr>
      <w:pgSz w:w="12240" w:h="15840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2026-04-03T15:00:41.503Z</dcterms:created>
  <dcterms:modified xsi:type="dcterms:W3CDTF">2026-04-03T15:00:41.504Z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