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6E746A"/>
          <w:sz w:val="18"/>
          <w:szCs w:val="18"/>
        </w:rPr>
        <w:t xml:space="preserve">MINO PEPTIDES</w:t>
      </w:r>
    </w:p>
    <w:p>
      <w:pPr>
        <w:pBdr>
          <w:bottom w:val="single" w:color="6E746A" w:sz="2" w:space="1"/>
        </w:pBdr>
        <w:spacing w:after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2C2C2C"/>
          <w:sz w:val="34"/>
          <w:szCs w:val="34"/>
        </w:rPr>
        <w:t xml:space="preserve">WHY MINO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How Mino Peptides compares to every other option your B2B prospect is considering.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2060"/>
        <w:gridCol w:w="1860"/>
        <w:gridCol w:w="18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746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MINO PEPTIDES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Generic 503B Pharmacy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Research-Grade Suppliers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Branded Pharma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E746A"/>
                <w:sz w:val="16"/>
                <w:szCs w:val="16"/>
              </w:rPr>
              <w:t xml:space="preserve">Compound Breadth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36+ compounds across 8 therapeutic categories — broadest portfolio available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5"/>
                <w:szCs w:val="15"/>
              </w:rPr>
              <w:t xml:space="preserve">5-15 compounds, typically GLP-1s + a few GH peptides only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5"/>
                <w:szCs w:val="15"/>
              </w:rPr>
              <w:t xml:space="preserve">Wide selection but unregulated quality and no clinical support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5"/>
                <w:szCs w:val="15"/>
              </w:rPr>
              <w:t xml:space="preserve">1-3 branded compounds per manufacturer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E746A"/>
                <w:sz w:val="16"/>
                <w:szCs w:val="16"/>
              </w:rPr>
              <w:t xml:space="preserve">Quality Standard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Pharmaceutical-grade from FDA-registered 503B outsourcing facilities with full COAs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5"/>
                <w:szCs w:val="15"/>
              </w:rPr>
              <w:t xml:space="preserve">503B compliant but variable quality between pharmacies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5"/>
                <w:szCs w:val="15"/>
              </w:rPr>
              <w:t xml:space="preserve">Research use only — not for human use. No GMP. No COAs guaranteed.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5"/>
                <w:szCs w:val="15"/>
              </w:rPr>
              <w:t xml:space="preserve">FDA-approved — gold standard for the 3-4 compounds they sell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E746A"/>
                <w:sz w:val="16"/>
                <w:szCs w:val="16"/>
              </w:rPr>
              <w:t xml:space="preserve">Pricing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Tiered wholesale: volume-based pricing across all 36+ compounds. Best-in-class margins for partners.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5"/>
                <w:szCs w:val="15"/>
              </w:rPr>
              <w:t xml:space="preserve">Variable. Often higher per-unit. No volume incentives. Limited to their formulary.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5"/>
                <w:szCs w:val="15"/>
              </w:rPr>
              <w:t xml:space="preserve">Cheapest per-unit but zero clinical legitimacy. Patients know the difference.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5"/>
                <w:szCs w:val="15"/>
              </w:rPr>
              <w:t xml:space="preserve">Premium retail pricing. No wholesale flexibility. Margin compression for practices.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E746A"/>
                <w:sz w:val="16"/>
                <w:szCs w:val="16"/>
              </w:rPr>
              <w:t xml:space="preserve">Clinical Support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12 stacking protocols, dosing guides, one-pagers, patient education materials, sales enablement for your team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5"/>
                <w:szCs w:val="15"/>
              </w:rPr>
              <w:t xml:space="preserve">Basic prescribing info. No stacking protocols. No marketing support.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5"/>
                <w:szCs w:val="15"/>
              </w:rPr>
              <w:t xml:space="preserve">None. You are on your own for clinical guidance.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5"/>
                <w:szCs w:val="15"/>
              </w:rPr>
              <w:t xml:space="preserve">Branded patient materials only. No combination protocols. No practice support.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E746A"/>
                <w:sz w:val="16"/>
                <w:szCs w:val="16"/>
              </w:rPr>
              <w:t xml:space="preserve">Account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Dedicated contacts (Cynthia, Sam). Tiered pricing. Onboarding support. Ongoing sales enablement.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5"/>
                <w:szCs w:val="15"/>
              </w:rPr>
              <w:t xml:space="preserve">Order online, wait for shipping. No relationship. No account management.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5"/>
                <w:szCs w:val="15"/>
              </w:rPr>
              <w:t xml:space="preserve">Anonymous online ordering. No support.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5"/>
                <w:szCs w:val="15"/>
              </w:rPr>
              <w:t xml:space="preserve">Rep visits quarterly. Rigid pricing. No customization.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E746A"/>
                <w:sz w:val="16"/>
                <w:szCs w:val="16"/>
              </w:rPr>
              <w:t xml:space="preserve">Regulatory Position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All compounds from FDA-registered 503B facilities under current oversight. Monitoring regulatory landscape daily.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5"/>
                <w:szCs w:val="15"/>
              </w:rPr>
              <w:t xml:space="preserve">503B compliant but many are reactive to regulatory changes, not proactive.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5"/>
                <w:szCs w:val="15"/>
              </w:rPr>
              <w:t xml:space="preserve">Non-compliant for clinical use. Significant legal liability for prescribers.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5"/>
                <w:szCs w:val="15"/>
              </w:rPr>
              <w:t xml:space="preserve">FDA-approved compounds only — safest position but extremely limited selection.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E746A"/>
                <w:sz w:val="16"/>
                <w:szCs w:val="16"/>
              </w:rPr>
              <w:t xml:space="preserve">Speed to Market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B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Full formulary available now. New compounds added as demand warrants. Fast onboarding.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5"/>
                <w:szCs w:val="15"/>
              </w:rPr>
              <w:t xml:space="preserve">Limited to their existing formulary. Slow to add new compounds.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5"/>
                <w:szCs w:val="15"/>
              </w:rPr>
              <w:t xml:space="preserve">Everything available immediately — but not legally prescribable.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5"/>
                <w:szCs w:val="15"/>
              </w:rPr>
              <w:t xml:space="preserve">Years of development per compound. You get what FDA approves, when FDA approves it.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E746A"/>
                <w:sz w:val="16"/>
                <w:szCs w:val="16"/>
              </w:rPr>
              <w:t xml:space="preserve">Patient Stickiness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Multi-compound protocols create ongoing relationships. Average patient on 2-4 Mino products.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5"/>
                <w:szCs w:val="15"/>
              </w:rPr>
              <w:t xml:space="preserve">Single-compound prescriptions. Patient switches easily.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5"/>
                <w:szCs w:val="15"/>
              </w:rPr>
              <w:t xml:space="preserve">Patients self-source. Zero practice loyalty.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5"/>
                <w:szCs w:val="15"/>
              </w:rPr>
              <w:t xml:space="preserve">Patients locked to one branded product. No upsell path.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6E746A"/>
          <w:sz w:val="18"/>
          <w:szCs w:val="18"/>
        </w:rPr>
        <w:t xml:space="preserve">THE BOTTOM LINE</w:t>
      </w:r>
    </w:p>
    <w:p>
      <w:pPr>
        <w:spacing w:after="10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No other single source gives you 36+ pharmaceutical-grade compounds, 12 clinical stacking protocols, dedicated account management, tiered wholesale pricing, and a full sales enablement package. Your other options are: pay more for less (branded pharma), get fewer compounds with no support (generic 503B), or take on legal and clinical risk (research-grade). Mino is the only complete solution.</w:t>
      </w:r>
    </w:p>
    <w:p>
      <w:pPr>
        <w:pBdr>
          <w:top w:val="single" w:color="CCCCCC" w:sz="1" w:space="1"/>
        </w:pBdr>
        <w:spacing w:before="160"/>
      </w:pPr>
    </w:p>
    <w:p>
      <w:pPr>
        <w:spacing w:before="40"/>
      </w:pPr>
      <w:r>
        <w:rPr>
          <w:rFonts w:ascii="Arial" w:cs="Arial" w:eastAsia="Arial" w:hAnsi="Arial"/>
          <w:color w:val="888888"/>
          <w:sz w:val="15"/>
          <w:szCs w:val="15"/>
        </w:rPr>
        <w:t xml:space="preserve">Mino Peptides LLC  |  hello@mino.life  |  Sales: cynthia@mino.life / sam@mino.life  |  www.mino.life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2026-04-02T22:53:06.743Z</dcterms:created>
  <dcterms:modified xsi:type="dcterms:W3CDTF">2026-04-02T22:53:06.744Z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