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left"/>
      </w:pPr>
      <w:r>
        <w:rPr>
          <w:rFonts w:ascii="Arial" w:cs="Arial" w:eastAsia="Arial" w:hAnsi="Arial"/>
          <w:b/>
          <w:bCs/>
          <w:color w:val="6E746A"/>
          <w:sz w:val="20"/>
          <w:szCs w:val="20"/>
        </w:rPr>
        <w:t xml:space="preserve">MINO PEPTIDES</w:t>
      </w:r>
    </w:p>
    <w:p>
      <w:pPr>
        <w:pBdr>
          <w:bottom w:val="single" w:color="6E746A" w:sz="2" w:space="1"/>
        </w:pBdr>
        <w:spacing w:after="100"/>
      </w:pPr>
    </w:p>
    <w:p>
      <w:pPr>
        <w:spacing w:after="80" w:before="200"/>
      </w:pPr>
      <w:r>
        <w:rPr>
          <w:rFonts w:ascii="Arial" w:cs="Arial" w:eastAsia="Arial" w:hAnsi="Arial"/>
          <w:b/>
          <w:bCs/>
          <w:color w:val="2C2C2C"/>
          <w:sz w:val="36"/>
          <w:szCs w:val="36"/>
        </w:rPr>
        <w:t xml:space="preserve">RECOVERY &amp; HEALING</w:t>
      </w:r>
    </w:p>
    <w:p>
      <w:pPr>
        <w:spacing w:after="2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Accelerate natural repair processes — healing injuries faster, reducing inflammation, and supporting tissue regeneration.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BPC-157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Body Protection Compound  |  5mg,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15-amino-acid gastric peptide. Accelerates healing of muscles, tendons, ligaments, nerves, and GI tract. 100+ published studies.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Universal tissue repair, GI healing, angiogenesis, neuroprotection, anti-inflammatory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Athletes, post-surgical, GI issues, tendon/ligament injuries — broadest appeal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TB-500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Thymosin Beta-4  |  2mg, 5mg,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43-amino-acid peptide promoting cell migration and blood vessel formation. Cardioprotective. Hair follicle activation.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Cell migration to injury sites, anti-inflammatory, cardiac support, hair growth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Slow-healing wounds, cardiac patients, hair thinning, musculoskeletal injuries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BPC + TB Blend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Synergistic Recovery  |  10mg, 20mg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Pre-mixed BPC-157 + TB-500. Synergistic: BPC primes tissue, TB brings repair cells. Single injection convenience.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Synergistic healing, convenience, cost-effective vs. separate compounds, simplified dosing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Highest-volume recovery product. Athletes, post-surgical, chronic injuries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LL-37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Antimicrobial Peptide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Human cathelicidin. Broad-spectrum antimicrobial — kills bacteria, fungi, viruses. Disrupts biofilms. Natural immune defense.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Direct antimicrobial action, biofilm disruption, immune modulation, wound healing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Chronic infections, Lyme, biofilm conditions, immune-compromised, wound healing</w:t>
      </w:r>
    </w:p>
    <w:p>
      <w:pPr>
        <w:pBdr>
          <w:bottom w:val="single" w:color="6E746A" w:sz="1" w:space="1"/>
        </w:pBdr>
        <w:spacing w:after="40" w:before="240"/>
      </w:pPr>
      <w:r>
        <w:rPr>
          <w:rFonts w:ascii="Arial" w:cs="Arial" w:eastAsia="Arial" w:hAnsi="Arial"/>
          <w:b/>
          <w:bCs/>
          <w:color w:val="2C2C2C"/>
          <w:sz w:val="26"/>
          <w:szCs w:val="26"/>
        </w:rPr>
        <w:t xml:space="preserve">KPV</w:t>
      </w:r>
      <w:r>
        <w:rPr>
          <w:rFonts w:ascii="Arial" w:cs="Arial" w:eastAsia="Arial" w:hAnsi="Arial"/>
          <w:color w:val="888888"/>
          <w:sz w:val="18"/>
          <w:szCs w:val="18"/>
        </w:rPr>
        <w:t xml:space="preserve">  |  Anti-Inflammatory Tripeptide  |  10mg</w:t>
      </w:r>
    </w:p>
    <w:p>
      <w:pPr>
        <w:spacing w:after="80" w:before="80"/>
      </w:pPr>
      <w:r>
        <w:rPr>
          <w:rFonts w:ascii="Arial" w:cs="Arial" w:eastAsia="Arial" w:hAnsi="Arial"/>
          <w:color w:val="2C2C2C"/>
          <w:sz w:val="20"/>
          <w:szCs w:val="20"/>
        </w:rPr>
        <w:t xml:space="preserve">Alpha-MSH derived tripeptide. Potent NF-kB inhibitor. Especially effective for gut inflammation. Can be taken orally.</w:t>
      </w:r>
    </w:p>
    <w:p>
      <w:pPr>
        <w:spacing w:after="4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Key Benefits: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Gut-specific anti-inflammatory, NF-kB inhibition, oral bioavailability, no immunosuppression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6E746A"/>
          <w:sz w:val="19"/>
          <w:szCs w:val="19"/>
        </w:rPr>
        <w:t xml:space="preserve">Ideal For: </w:t>
      </w:r>
      <w:r>
        <w:rPr>
          <w:rFonts w:ascii="Arial" w:cs="Arial" w:eastAsia="Arial" w:hAnsi="Arial"/>
          <w:color w:val="555555"/>
          <w:sz w:val="19"/>
          <w:szCs w:val="19"/>
        </w:rPr>
        <w:t xml:space="preserve">IBD, Crohn's, UC, IBS, chronic inflammatory skin conditions, steroid alternatives</w:t>
      </w:r>
    </w:p>
    <w:p>
      <w:pPr>
        <w:pBdr>
          <w:top w:val="single" w:color="CCCCCC" w:sz="1" w:space="1"/>
        </w:pBdr>
        <w:spacing w:before="400"/>
      </w:pPr>
    </w:p>
    <w:p>
      <w:pPr>
        <w:spacing w:before="8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Mino Peptides LLC  |  hello@mino.life  |  www.mino.life</w:t>
      </w:r>
    </w:p>
    <w:p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All peptide therapies require a valid prescription. © 2026 Mino Peptides LLC.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2026-04-02T20:37:59.139Z</dcterms:created>
  <dcterms:modified xsi:type="dcterms:W3CDTF">2026-04-02T20:37:59.139Z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