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ACD3" w14:textId="77777777" w:rsidR="003F5047" w:rsidRDefault="00E36989">
      <w:pPr>
        <w:spacing w:after="40"/>
        <w:jc w:val="center"/>
      </w:pPr>
      <w:r>
        <w:rPr>
          <w:b/>
          <w:bCs/>
          <w:color w:val="6E746A"/>
          <w:spacing w:val="240"/>
          <w:sz w:val="36"/>
          <w:szCs w:val="36"/>
        </w:rPr>
        <w:t>MINO PEPTIDES</w:t>
      </w:r>
    </w:p>
    <w:p w14:paraId="2B7FE9B4" w14:textId="77777777" w:rsidR="003F5047" w:rsidRDefault="00E36989">
      <w:pPr>
        <w:spacing w:after="60"/>
        <w:jc w:val="center"/>
      </w:pPr>
      <w:r>
        <w:rPr>
          <w:i/>
          <w:iCs/>
          <w:color w:val="6E746A"/>
        </w:rPr>
        <w:t>The Answer to Today’s Gray Market. The Authority of Tomorrow.</w:t>
      </w:r>
    </w:p>
    <w:p w14:paraId="65356A11" w14:textId="77777777" w:rsidR="003F5047" w:rsidRDefault="003F5047">
      <w:pPr>
        <w:pBdr>
          <w:bottom w:val="single" w:sz="6" w:space="0" w:color="6E746A"/>
        </w:pBdr>
        <w:spacing w:after="160"/>
        <w:jc w:val="center"/>
      </w:pPr>
    </w:p>
    <w:p w14:paraId="4D32F98C" w14:textId="77777777" w:rsidR="003F5047" w:rsidRDefault="00E36989">
      <w:pPr>
        <w:spacing w:after="140"/>
      </w:pPr>
      <w:r>
        <w:rPr>
          <w:color w:val="1E293B"/>
        </w:rPr>
        <w:t xml:space="preserve">The peptide and stem cell market is exploding — and it is unregulated, unverified, and increasingly unsafe. 30% of gray-market peptides tested by independent labs are mislabeled, underdosed, or contaminated with toxins or </w:t>
      </w:r>
      <w:proofErr w:type="gramStart"/>
      <w:r>
        <w:rPr>
          <w:color w:val="1E293B"/>
        </w:rPr>
        <w:t>bacteria.¹</w:t>
      </w:r>
      <w:proofErr w:type="gramEnd"/>
      <w:r>
        <w:rPr>
          <w:color w:val="1E293B"/>
        </w:rPr>
        <w:t xml:space="preserve"> Chinese factories ship unregulated vials directly to consumers via Discord for as little as $150 in </w:t>
      </w:r>
      <w:proofErr w:type="gramStart"/>
      <w:r>
        <w:rPr>
          <w:color w:val="1E293B"/>
        </w:rPr>
        <w:t>Bitcoin.²</w:t>
      </w:r>
      <w:proofErr w:type="gramEnd"/>
      <w:r>
        <w:rPr>
          <w:color w:val="1E293B"/>
        </w:rPr>
        <w:t xml:space="preserve"> Practices are exposed to liability, patients are exposed to harm, and the entire category is one adverse event away from regulatory backlash.</w:t>
      </w:r>
    </w:p>
    <w:p w14:paraId="379C54DD" w14:textId="77777777" w:rsidR="003F5047" w:rsidRDefault="00E36989">
      <w:pPr>
        <w:spacing w:after="140"/>
      </w:pPr>
      <w:r>
        <w:rPr>
          <w:color w:val="1E293B"/>
        </w:rPr>
        <w:t xml:space="preserve">Mino Peptides is being built to be the answer. We are establishing the clinical and medical infrastructure that this category has been missing — the guard rails that protect practices, patients, and the future of regenerative medicine. Our compounds are sourced and manufactured in Europe under EU pharmaceutical and GMP guidelines, the strictest standards in the world. Our protocols are physician-led. Our testing is independent. Our chain of custody is documented end-to-end. Mino is positioned to become the </w:t>
      </w:r>
      <w:r>
        <w:rPr>
          <w:color w:val="1E293B"/>
        </w:rPr>
        <w:t>trusted authority in the peptide and stem cell space — not by chasing the trend, but by setting the standard.</w:t>
      </w:r>
    </w:p>
    <w:p w14:paraId="0370766F" w14:textId="77777777" w:rsidR="003F5047" w:rsidRDefault="00E36989">
      <w:pPr>
        <w:spacing w:before="120" w:after="80"/>
      </w:pPr>
      <w:r>
        <w:rPr>
          <w:b/>
          <w:bCs/>
          <w:color w:val="6E746A"/>
          <w:sz w:val="22"/>
          <w:szCs w:val="22"/>
        </w:rPr>
        <w:t>WHAT MAKES MINO DIFFERENT</w:t>
      </w:r>
    </w:p>
    <w:p w14:paraId="0C7C3321" w14:textId="77777777" w:rsidR="003F5047" w:rsidRDefault="00E36989">
      <w:pPr>
        <w:pStyle w:val="ListParagraph"/>
        <w:numPr>
          <w:ilvl w:val="0"/>
          <w:numId w:val="2"/>
        </w:numPr>
        <w:spacing w:after="60"/>
      </w:pPr>
      <w:r>
        <w:rPr>
          <w:b/>
          <w:bCs/>
          <w:color w:val="1E293B"/>
        </w:rPr>
        <w:t xml:space="preserve">European Sourcing. </w:t>
      </w:r>
      <w:r>
        <w:rPr>
          <w:color w:val="1E293B"/>
        </w:rPr>
        <w:t>Every compound sourced from European facilities operating under EU pharmaceutical guidelines and EU-GMP standards — the most rigorous regulatory framework in the world.</w:t>
      </w:r>
    </w:p>
    <w:p w14:paraId="13C23250" w14:textId="77777777" w:rsidR="003F5047" w:rsidRDefault="00E36989">
      <w:pPr>
        <w:pStyle w:val="ListParagraph"/>
        <w:numPr>
          <w:ilvl w:val="0"/>
          <w:numId w:val="2"/>
        </w:numPr>
        <w:spacing w:after="60"/>
      </w:pPr>
      <w:r>
        <w:rPr>
          <w:b/>
          <w:bCs/>
          <w:color w:val="1E293B"/>
        </w:rPr>
        <w:t xml:space="preserve">European Manufacturing. </w:t>
      </w:r>
      <w:r>
        <w:rPr>
          <w:color w:val="1E293B"/>
        </w:rPr>
        <w:t>Manufacturing partners certified to EU-GMP (Annex 1) sterile production standards. The same regulatory framework that governs the world’s leading pharmaceutical companies.</w:t>
      </w:r>
    </w:p>
    <w:p w14:paraId="1C10D8D1" w14:textId="77777777" w:rsidR="003F5047" w:rsidRDefault="00E36989">
      <w:pPr>
        <w:pStyle w:val="ListParagraph"/>
        <w:numPr>
          <w:ilvl w:val="0"/>
          <w:numId w:val="2"/>
        </w:numPr>
        <w:spacing w:after="60"/>
      </w:pPr>
      <w:r>
        <w:rPr>
          <w:b/>
          <w:bCs/>
          <w:color w:val="1E293B"/>
        </w:rPr>
        <w:t xml:space="preserve">Third-Party Tested. </w:t>
      </w:r>
      <w:r>
        <w:rPr>
          <w:color w:val="1E293B"/>
        </w:rPr>
        <w:t>Independent third-party purity and potency verification on every batch. Certificate of Analysis (COA) accompanies every shipment.</w:t>
      </w:r>
    </w:p>
    <w:p w14:paraId="4D5A94C7" w14:textId="77777777" w:rsidR="003F5047" w:rsidRDefault="00E36989">
      <w:pPr>
        <w:pStyle w:val="ListParagraph"/>
        <w:numPr>
          <w:ilvl w:val="0"/>
          <w:numId w:val="2"/>
        </w:numPr>
        <w:spacing w:after="60"/>
      </w:pPr>
      <w:r>
        <w:rPr>
          <w:b/>
          <w:bCs/>
          <w:color w:val="1E293B"/>
        </w:rPr>
        <w:t xml:space="preserve">Full Chain of Custody. </w:t>
      </w:r>
      <w:r>
        <w:rPr>
          <w:color w:val="1E293B"/>
        </w:rPr>
        <w:t>Documentation from raw material to final delivery. Full traceability — if a regulator asks where a compound came from, there is a paper trail.</w:t>
      </w:r>
    </w:p>
    <w:p w14:paraId="270A81BE" w14:textId="77777777" w:rsidR="003F5047" w:rsidRDefault="00E36989">
      <w:pPr>
        <w:pStyle w:val="ListParagraph"/>
        <w:numPr>
          <w:ilvl w:val="0"/>
          <w:numId w:val="2"/>
        </w:numPr>
        <w:spacing w:after="60"/>
      </w:pPr>
      <w:r>
        <w:rPr>
          <w:b/>
          <w:bCs/>
          <w:color w:val="1E293B"/>
        </w:rPr>
        <w:t xml:space="preserve">Physician-Led. </w:t>
      </w:r>
      <w:r>
        <w:rPr>
          <w:color w:val="1E293B"/>
        </w:rPr>
        <w:t>Dr. Brandon Howard, MD (board-certified Internal Medicine) oversees all clinical protocols, dosing guidelines, and provider education. A physician at the head of the company — not a marketer.</w:t>
      </w:r>
    </w:p>
    <w:p w14:paraId="59201BA1" w14:textId="77777777" w:rsidR="003F5047" w:rsidRDefault="00E36989">
      <w:pPr>
        <w:pStyle w:val="ListParagraph"/>
        <w:numPr>
          <w:ilvl w:val="0"/>
          <w:numId w:val="2"/>
        </w:numPr>
        <w:spacing w:after="60"/>
      </w:pPr>
      <w:r>
        <w:rPr>
          <w:b/>
          <w:bCs/>
          <w:color w:val="1E293B"/>
        </w:rPr>
        <w:t xml:space="preserve">Built With Guard Rails. </w:t>
      </w:r>
      <w:r>
        <w:rPr>
          <w:color w:val="1E293B"/>
        </w:rPr>
        <w:t>Mino is being built with the clinical and medical infrastructure required to serve this category responsibly: Clinical Advisory Board, physician oversight, validated protocols, safety monitoring, and regulatory compliance frameworks.</w:t>
      </w:r>
    </w:p>
    <w:p w14:paraId="3FD0E5E0" w14:textId="77777777" w:rsidR="003F5047" w:rsidRDefault="00E36989">
      <w:pPr>
        <w:pStyle w:val="ListParagraph"/>
        <w:numPr>
          <w:ilvl w:val="0"/>
          <w:numId w:val="2"/>
        </w:numPr>
        <w:spacing w:after="60"/>
      </w:pPr>
      <w:r>
        <w:rPr>
          <w:b/>
          <w:bCs/>
          <w:color w:val="1E293B"/>
        </w:rPr>
        <w:t xml:space="preserve">Authority in the Making. </w:t>
      </w:r>
      <w:r>
        <w:rPr>
          <w:color w:val="1E293B"/>
        </w:rPr>
        <w:t>As the peptide and stem cell market matures, the company that establishes pharmaceutical-grade standards first becomes the authority. Mino is positioning itself as that authority — and partner practices grow with us.</w:t>
      </w:r>
    </w:p>
    <w:p w14:paraId="4C0F9BEA" w14:textId="77777777" w:rsidR="003F5047" w:rsidRDefault="00E36989">
      <w:pPr>
        <w:spacing w:before="200" w:after="80"/>
      </w:pPr>
      <w:r>
        <w:rPr>
          <w:b/>
          <w:bCs/>
          <w:color w:val="6E746A"/>
          <w:sz w:val="22"/>
          <w:szCs w:val="22"/>
        </w:rPr>
        <w:t>WHY EUROPEAN MATTERS</w:t>
      </w:r>
    </w:p>
    <w:p w14:paraId="0DDD3C2C" w14:textId="77777777" w:rsidR="003F5047" w:rsidRDefault="00E36989">
      <w:pPr>
        <w:spacing w:after="120"/>
      </w:pPr>
      <w:r>
        <w:rPr>
          <w:color w:val="1E293B"/>
        </w:rPr>
        <w:t>The European Union enforces the most rigorous pharmaceutical manufacturing standards in the world. EU-GMP (Good Manufacturing Practice) certification requires continuous regulatory inspection, validated production processes, environmental monitoring, and full traceability from raw material through finished product. EU pharmaceutical guidelines (the same framework that governs Novo Nordisk’s semaglutide production in Denmark and the European operations of every major global pharmaceutical company) are the go</w:t>
      </w:r>
      <w:r>
        <w:rPr>
          <w:color w:val="1E293B"/>
        </w:rPr>
        <w:t>ld standard for sterile injectable production.</w:t>
      </w:r>
    </w:p>
    <w:p w14:paraId="7B5A277E" w14:textId="77777777" w:rsidR="003F5047" w:rsidRDefault="00E36989">
      <w:pPr>
        <w:spacing w:after="120"/>
      </w:pPr>
      <w:r>
        <w:rPr>
          <w:color w:val="1E293B"/>
        </w:rPr>
        <w:t xml:space="preserve">In the UK and across Europe, peptide therapy is already mainstream clinical practice. 34% of UK aesthetics clinics now offer longevity and peptide-based treatments, and 51% of aesthetics-only UK clinics now offer functional medicine </w:t>
      </w:r>
      <w:proofErr w:type="gramStart"/>
      <w:r>
        <w:rPr>
          <w:color w:val="1E293B"/>
        </w:rPr>
        <w:t>assessments.³</w:t>
      </w:r>
      <w:proofErr w:type="gramEnd"/>
      <w:r>
        <w:rPr>
          <w:color w:val="1E293B"/>
        </w:rPr>
        <w:t xml:space="preserve"> Demand for traditional dermal fillers has dropped 31% and Botox demand has dropped 16% — replaced by regenerative and peptide-based </w:t>
      </w:r>
      <w:proofErr w:type="gramStart"/>
      <w:r>
        <w:rPr>
          <w:color w:val="1E293B"/>
        </w:rPr>
        <w:t>protocols.⁴</w:t>
      </w:r>
      <w:proofErr w:type="gramEnd"/>
      <w:r>
        <w:rPr>
          <w:color w:val="1E293B"/>
        </w:rPr>
        <w:t xml:space="preserve"> London has dedicated “</w:t>
      </w:r>
      <w:proofErr w:type="spellStart"/>
      <w:r>
        <w:rPr>
          <w:color w:val="1E293B"/>
        </w:rPr>
        <w:t>Peptidology</w:t>
      </w:r>
      <w:proofErr w:type="spellEnd"/>
      <w:r>
        <w:rPr>
          <w:color w:val="1E293B"/>
        </w:rPr>
        <w:t xml:space="preserve">” clinics. Hamilton Fraser, the UK’s leading aesthetics insurer, has established compliance frameworks for peptide </w:t>
      </w:r>
      <w:proofErr w:type="gramStart"/>
      <w:r>
        <w:rPr>
          <w:color w:val="1E293B"/>
        </w:rPr>
        <w:t>treatments.⁵</w:t>
      </w:r>
      <w:proofErr w:type="gramEnd"/>
      <w:r>
        <w:rPr>
          <w:color w:val="1E293B"/>
        </w:rPr>
        <w:t xml:space="preserve"> The European market is 12–18 months ahead of the U.S. — and Mino brings that European pharmaceutical-grade standard to American practices.</w:t>
      </w:r>
    </w:p>
    <w:p w14:paraId="4CA9FFDD" w14:textId="77777777" w:rsidR="003F5047" w:rsidRDefault="00E36989">
      <w:r>
        <w:br w:type="page"/>
      </w:r>
    </w:p>
    <w:p w14:paraId="30C99B20" w14:textId="77777777" w:rsidR="003F5047" w:rsidRDefault="00E36989">
      <w:pPr>
        <w:spacing w:after="120"/>
      </w:pPr>
      <w:r>
        <w:rPr>
          <w:b/>
          <w:bCs/>
          <w:color w:val="6E746A"/>
          <w:sz w:val="24"/>
          <w:szCs w:val="24"/>
        </w:rPr>
        <w:t>MINO vs. THE GRAY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F5047" w14:paraId="0655D3D4" w14:textId="77777777">
        <w:tblPrEx>
          <w:tblCellMar>
            <w:top w:w="0" w:type="dxa"/>
            <w:bottom w:w="0" w:type="dxa"/>
          </w:tblCellMar>
        </w:tblPrEx>
        <w:trPr>
          <w:tblHeader/>
        </w:trPr>
        <w:tc>
          <w:tcPr>
            <w:tcW w:w="2200" w:type="dxa"/>
            <w:tcBorders>
              <w:top w:val="single" w:sz="1" w:space="0" w:color="D6CFC4"/>
              <w:left w:val="single" w:sz="1" w:space="0" w:color="D6CFC4"/>
              <w:bottom w:val="single" w:sz="1" w:space="0" w:color="D6CFC4"/>
              <w:right w:val="single" w:sz="1" w:space="0" w:color="D6CFC4"/>
            </w:tcBorders>
            <w:shd w:val="clear" w:color="auto" w:fill="6E746A"/>
            <w:tcMar>
              <w:top w:w="80" w:type="dxa"/>
              <w:left w:w="120" w:type="dxa"/>
              <w:bottom w:w="80" w:type="dxa"/>
              <w:right w:w="120" w:type="dxa"/>
            </w:tcMar>
          </w:tcPr>
          <w:p w14:paraId="4150EC4C" w14:textId="77777777" w:rsidR="003F5047" w:rsidRDefault="003F5047"/>
        </w:tc>
        <w:tc>
          <w:tcPr>
            <w:tcW w:w="3580" w:type="dxa"/>
            <w:tcBorders>
              <w:top w:val="single" w:sz="1" w:space="0" w:color="D6CFC4"/>
              <w:left w:val="single" w:sz="1" w:space="0" w:color="D6CFC4"/>
              <w:bottom w:val="single" w:sz="1" w:space="0" w:color="D6CFC4"/>
              <w:right w:val="single" w:sz="1" w:space="0" w:color="D6CFC4"/>
            </w:tcBorders>
            <w:shd w:val="clear" w:color="auto" w:fill="6E746A"/>
            <w:tcMar>
              <w:top w:w="80" w:type="dxa"/>
              <w:left w:w="120" w:type="dxa"/>
              <w:bottom w:w="80" w:type="dxa"/>
              <w:right w:w="120" w:type="dxa"/>
            </w:tcMar>
          </w:tcPr>
          <w:p w14:paraId="5885F8FF" w14:textId="77777777" w:rsidR="003F5047" w:rsidRDefault="00E36989">
            <w:pPr>
              <w:jc w:val="center"/>
            </w:pPr>
            <w:r>
              <w:rPr>
                <w:b/>
                <w:bCs/>
                <w:color w:val="FFFFFF"/>
              </w:rPr>
              <w:t>MINO</w:t>
            </w:r>
          </w:p>
        </w:tc>
        <w:tc>
          <w:tcPr>
            <w:tcW w:w="3580" w:type="dxa"/>
            <w:tcBorders>
              <w:top w:val="single" w:sz="1" w:space="0" w:color="D6CFC4"/>
              <w:left w:val="single" w:sz="1" w:space="0" w:color="D6CFC4"/>
              <w:bottom w:val="single" w:sz="1" w:space="0" w:color="D6CFC4"/>
              <w:right w:val="single" w:sz="1" w:space="0" w:color="D6CFC4"/>
            </w:tcBorders>
            <w:shd w:val="clear" w:color="auto" w:fill="6E746A"/>
            <w:tcMar>
              <w:top w:w="80" w:type="dxa"/>
              <w:left w:w="120" w:type="dxa"/>
              <w:bottom w:w="80" w:type="dxa"/>
              <w:right w:w="120" w:type="dxa"/>
            </w:tcMar>
          </w:tcPr>
          <w:p w14:paraId="26AE433A" w14:textId="77777777" w:rsidR="003F5047" w:rsidRDefault="00E36989">
            <w:pPr>
              <w:jc w:val="center"/>
            </w:pPr>
            <w:r>
              <w:rPr>
                <w:b/>
                <w:bCs/>
                <w:color w:val="FFFFFF"/>
              </w:rPr>
              <w:t>Gray Market</w:t>
            </w:r>
          </w:p>
        </w:tc>
      </w:tr>
      <w:tr w:rsidR="003F5047" w14:paraId="05D8538E"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25AC11A2" w14:textId="77777777" w:rsidR="003F5047" w:rsidRDefault="00E36989">
            <w:r>
              <w:rPr>
                <w:b/>
                <w:bCs/>
                <w:color w:val="1E293B"/>
              </w:rPr>
              <w:t>Sourcing</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552D2E5F" w14:textId="77777777" w:rsidR="003F5047" w:rsidRDefault="00E36989">
            <w:r>
              <w:rPr>
                <w:color w:val="1E293B"/>
              </w:rPr>
              <w:t>European facilities under EU pharmaceutical guidelines</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4158C708" w14:textId="77777777" w:rsidR="003F5047" w:rsidRDefault="00E36989">
            <w:r>
              <w:rPr>
                <w:color w:val="475569"/>
              </w:rPr>
              <w:t>Chinese factory direct, unverified suppliers</w:t>
            </w:r>
          </w:p>
        </w:tc>
      </w:tr>
      <w:tr w:rsidR="003F5047" w14:paraId="3D72ADF8"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570A134D" w14:textId="77777777" w:rsidR="003F5047" w:rsidRDefault="00E36989">
            <w:r>
              <w:rPr>
                <w:b/>
                <w:bCs/>
                <w:color w:val="1E293B"/>
              </w:rPr>
              <w:t>Manufacturing Standard</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38934AF6" w14:textId="77777777" w:rsidR="003F5047" w:rsidRDefault="00E36989">
            <w:r>
              <w:rPr>
                <w:color w:val="1E293B"/>
              </w:rPr>
              <w:t>EU-GMP (Annex 1) — strictest in the world</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05AF9EFB" w14:textId="77777777" w:rsidR="003F5047" w:rsidRDefault="00E36989">
            <w:r>
              <w:rPr>
                <w:color w:val="475569"/>
              </w:rPr>
              <w:t>No verified standard / “research chemical” labeling</w:t>
            </w:r>
          </w:p>
        </w:tc>
      </w:tr>
      <w:tr w:rsidR="003F5047" w14:paraId="733AB6BC"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7388D211" w14:textId="77777777" w:rsidR="003F5047" w:rsidRDefault="00E36989">
            <w:r>
              <w:rPr>
                <w:b/>
                <w:bCs/>
                <w:color w:val="1E293B"/>
              </w:rPr>
              <w:t>Testing</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62EFC13F" w14:textId="77777777" w:rsidR="003F5047" w:rsidRDefault="00E36989">
            <w:r>
              <w:rPr>
                <w:color w:val="1E293B"/>
              </w:rPr>
              <w:t>Independent third-party purity &amp; potency on every batch</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22D57D75" w14:textId="77777777" w:rsidR="003F5047" w:rsidRDefault="00E36989">
            <w:r>
              <w:rPr>
                <w:color w:val="475569"/>
              </w:rPr>
              <w:t>No verification (30% mislabeled per independent testing)</w:t>
            </w:r>
          </w:p>
        </w:tc>
      </w:tr>
      <w:tr w:rsidR="003F5047" w14:paraId="01A3C8F6"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2E814435" w14:textId="77777777" w:rsidR="003F5047" w:rsidRDefault="00E36989">
            <w:r>
              <w:rPr>
                <w:b/>
                <w:bCs/>
                <w:color w:val="1E293B"/>
              </w:rPr>
              <w:t>Documentation</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30226D1D" w14:textId="77777777" w:rsidR="003F5047" w:rsidRDefault="00E36989">
            <w:r>
              <w:rPr>
                <w:color w:val="1E293B"/>
              </w:rPr>
              <w:t>COA + chain of custody with every shipment</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33C0AC6E" w14:textId="77777777" w:rsidR="003F5047" w:rsidRDefault="00E36989">
            <w:r>
              <w:rPr>
                <w:color w:val="475569"/>
              </w:rPr>
              <w:t>Often fabricated COAs or none at all</w:t>
            </w:r>
          </w:p>
        </w:tc>
      </w:tr>
      <w:tr w:rsidR="003F5047" w14:paraId="2C3208B5"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03614669" w14:textId="77777777" w:rsidR="003F5047" w:rsidRDefault="00E36989">
            <w:r>
              <w:rPr>
                <w:b/>
                <w:bCs/>
                <w:color w:val="1E293B"/>
              </w:rPr>
              <w:t>Physician Oversight</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45D6D0BC" w14:textId="77777777" w:rsidR="003F5047" w:rsidRDefault="00E36989">
            <w:r>
              <w:rPr>
                <w:color w:val="1E293B"/>
              </w:rPr>
              <w:t>Dr. Brandon Howard, MD oversees all protocols</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5D12902D" w14:textId="77777777" w:rsidR="003F5047" w:rsidRDefault="00E36989">
            <w:r>
              <w:rPr>
                <w:color w:val="475569"/>
              </w:rPr>
              <w:t>None</w:t>
            </w:r>
          </w:p>
        </w:tc>
      </w:tr>
      <w:tr w:rsidR="003F5047" w14:paraId="242B4C08"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1684D2FC" w14:textId="77777777" w:rsidR="003F5047" w:rsidRDefault="00E36989">
            <w:r>
              <w:rPr>
                <w:b/>
                <w:bCs/>
                <w:color w:val="1E293B"/>
              </w:rPr>
              <w:t>Clinical Infrastructure</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009ECF1D" w14:textId="77777777" w:rsidR="003F5047" w:rsidRDefault="00E36989">
            <w:r>
              <w:rPr>
                <w:color w:val="1E293B"/>
              </w:rPr>
              <w:t>Built with Clinical Advisory Board, validated protocols, safety monitoring</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677C3C89" w14:textId="77777777" w:rsidR="003F5047" w:rsidRDefault="00E36989">
            <w:r>
              <w:rPr>
                <w:color w:val="475569"/>
              </w:rPr>
              <w:t>None — sold as “research chemicals” to bypass regulation</w:t>
            </w:r>
          </w:p>
        </w:tc>
      </w:tr>
      <w:tr w:rsidR="003F5047" w14:paraId="241FCDE5"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2C10A24E" w14:textId="77777777" w:rsidR="003F5047" w:rsidRDefault="00E36989">
            <w:r>
              <w:rPr>
                <w:b/>
                <w:bCs/>
                <w:color w:val="1E293B"/>
              </w:rPr>
              <w:t>Adverse Event Support</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152F442F" w14:textId="77777777" w:rsidR="003F5047" w:rsidRDefault="00E36989">
            <w:r>
              <w:rPr>
                <w:color w:val="1E293B"/>
              </w:rPr>
              <w:t>Medical director available for clinical consultation</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51577B3E" w14:textId="77777777" w:rsidR="003F5047" w:rsidRDefault="00E36989">
            <w:r>
              <w:rPr>
                <w:color w:val="475569"/>
              </w:rPr>
              <w:t>No support, no documentation, no accountability</w:t>
            </w:r>
          </w:p>
        </w:tc>
      </w:tr>
      <w:tr w:rsidR="003F5047" w14:paraId="5A9CDEB0"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732A91E5" w14:textId="77777777" w:rsidR="003F5047" w:rsidRDefault="00E36989">
            <w:r>
              <w:rPr>
                <w:b/>
                <w:bCs/>
                <w:color w:val="1E293B"/>
              </w:rPr>
              <w:t>Legal Defensibility</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432BF7E0" w14:textId="77777777" w:rsidR="003F5047" w:rsidRDefault="00E36989">
            <w:r>
              <w:rPr>
                <w:color w:val="1E293B"/>
              </w:rPr>
              <w:t>Full paper trail, GMP records, COAs</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08D1259E" w14:textId="77777777" w:rsidR="003F5047" w:rsidRDefault="00E36989">
            <w:r>
              <w:rPr>
                <w:color w:val="475569"/>
              </w:rPr>
              <w:t>No documentation — full liability exposure</w:t>
            </w:r>
          </w:p>
        </w:tc>
      </w:tr>
      <w:tr w:rsidR="003F5047" w14:paraId="4C3CA2AC"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4F17D9EE" w14:textId="77777777" w:rsidR="003F5047" w:rsidRDefault="00E36989">
            <w:r>
              <w:rPr>
                <w:b/>
                <w:bCs/>
                <w:color w:val="1E293B"/>
              </w:rPr>
              <w:t>Patient Safety</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6110710D" w14:textId="77777777" w:rsidR="003F5047" w:rsidRDefault="00E36989">
            <w:r>
              <w:rPr>
                <w:color w:val="1E293B"/>
              </w:rPr>
              <w:t>Pharmaceutical-grade compounds with verified potency</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4ECDE7A6" w14:textId="77777777" w:rsidR="003F5047" w:rsidRDefault="00E36989">
            <w:r>
              <w:rPr>
                <w:color w:val="475569"/>
              </w:rPr>
              <w:t>Unknown potency, contamination risk, allergic reactions</w:t>
            </w:r>
          </w:p>
        </w:tc>
      </w:tr>
      <w:tr w:rsidR="003F5047" w14:paraId="18AD41BB" w14:textId="77777777">
        <w:tblPrEx>
          <w:tblCellMar>
            <w:top w:w="0" w:type="dxa"/>
            <w:bottom w:w="0" w:type="dxa"/>
          </w:tblCellMar>
        </w:tblPrEx>
        <w:tc>
          <w:tcPr>
            <w:tcW w:w="2200" w:type="dxa"/>
            <w:tcBorders>
              <w:top w:val="single" w:sz="1" w:space="0" w:color="D6CFC4"/>
              <w:left w:val="single" w:sz="1" w:space="0" w:color="D6CFC4"/>
              <w:bottom w:val="single" w:sz="1" w:space="0" w:color="D6CFC4"/>
              <w:right w:val="single" w:sz="1" w:space="0" w:color="D6CFC4"/>
            </w:tcBorders>
            <w:shd w:val="clear" w:color="auto" w:fill="F5F0EA"/>
            <w:tcMar>
              <w:top w:w="80" w:type="dxa"/>
              <w:left w:w="120" w:type="dxa"/>
              <w:bottom w:w="80" w:type="dxa"/>
              <w:right w:w="120" w:type="dxa"/>
            </w:tcMar>
          </w:tcPr>
          <w:p w14:paraId="4D397261" w14:textId="77777777" w:rsidR="003F5047" w:rsidRDefault="00E36989">
            <w:r>
              <w:rPr>
                <w:b/>
                <w:bCs/>
                <w:color w:val="1E293B"/>
              </w:rPr>
              <w:t>Long-Term Position</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2FE5E189" w14:textId="77777777" w:rsidR="003F5047" w:rsidRDefault="00E36989">
            <w:r>
              <w:rPr>
                <w:color w:val="1E293B"/>
              </w:rPr>
              <w:t>Building the category authority for peptides and stem cells</w:t>
            </w:r>
          </w:p>
        </w:tc>
        <w:tc>
          <w:tcPr>
            <w:tcW w:w="3580" w:type="dxa"/>
            <w:tcBorders>
              <w:top w:val="single" w:sz="1" w:space="0" w:color="D6CFC4"/>
              <w:left w:val="single" w:sz="1" w:space="0" w:color="D6CFC4"/>
              <w:bottom w:val="single" w:sz="1" w:space="0" w:color="D6CFC4"/>
              <w:right w:val="single" w:sz="1" w:space="0" w:color="D6CFC4"/>
            </w:tcBorders>
            <w:shd w:val="clear" w:color="auto" w:fill="FFFFFF"/>
            <w:tcMar>
              <w:top w:w="80" w:type="dxa"/>
              <w:left w:w="120" w:type="dxa"/>
              <w:bottom w:w="80" w:type="dxa"/>
              <w:right w:w="120" w:type="dxa"/>
            </w:tcMar>
          </w:tcPr>
          <w:p w14:paraId="210A06A2" w14:textId="77777777" w:rsidR="003F5047" w:rsidRDefault="00E36989">
            <w:r>
              <w:rPr>
                <w:color w:val="475569"/>
              </w:rPr>
              <w:t>Race-to-the-bottom commodity vendors</w:t>
            </w:r>
          </w:p>
        </w:tc>
      </w:tr>
    </w:tbl>
    <w:p w14:paraId="49BF6459" w14:textId="77777777" w:rsidR="003F5047" w:rsidRDefault="00E36989">
      <w:pPr>
        <w:spacing w:before="240" w:after="80"/>
      </w:pPr>
      <w:r>
        <w:rPr>
          <w:b/>
          <w:bCs/>
          <w:color w:val="6E746A"/>
          <w:sz w:val="22"/>
          <w:szCs w:val="22"/>
        </w:rPr>
        <w:t>THE MINO PORTFOLIO</w:t>
      </w:r>
    </w:p>
    <w:p w14:paraId="4E7973C3" w14:textId="77777777" w:rsidR="003F5047" w:rsidRDefault="00E36989">
      <w:pPr>
        <w:spacing w:after="120"/>
      </w:pPr>
      <w:r>
        <w:rPr>
          <w:color w:val="1E293B"/>
        </w:rPr>
        <w:t>39 European-manufactured pharmaceutical-grade compounds across 6 therapeutic categories:</w:t>
      </w:r>
    </w:p>
    <w:p w14:paraId="245AD9FB" w14:textId="77777777" w:rsidR="003F5047" w:rsidRDefault="00E36989">
      <w:pPr>
        <w:pStyle w:val="ListParagraph"/>
        <w:numPr>
          <w:ilvl w:val="0"/>
          <w:numId w:val="2"/>
        </w:numPr>
        <w:spacing w:after="60"/>
      </w:pPr>
      <w:r>
        <w:rPr>
          <w:b/>
          <w:bCs/>
          <w:color w:val="1E293B"/>
        </w:rPr>
        <w:t xml:space="preserve">Regeneration. </w:t>
      </w:r>
      <w:r>
        <w:rPr>
          <w:color w:val="1E293B"/>
        </w:rPr>
        <w:t>Tissue repair, wound healing, joint recovery, post-surgical healing</w:t>
      </w:r>
    </w:p>
    <w:p w14:paraId="4C69395D" w14:textId="77777777" w:rsidR="003F5047" w:rsidRDefault="00E36989">
      <w:pPr>
        <w:pStyle w:val="ListParagraph"/>
        <w:numPr>
          <w:ilvl w:val="0"/>
          <w:numId w:val="2"/>
        </w:numPr>
        <w:spacing w:after="60"/>
      </w:pPr>
      <w:r>
        <w:rPr>
          <w:b/>
          <w:bCs/>
          <w:color w:val="1E293B"/>
        </w:rPr>
        <w:t xml:space="preserve">Metabolic. </w:t>
      </w:r>
      <w:r>
        <w:rPr>
          <w:color w:val="1E293B"/>
        </w:rPr>
        <w:t>Weight management, metabolic optimization, GLP-1 protocols</w:t>
      </w:r>
    </w:p>
    <w:p w14:paraId="7BCA940D" w14:textId="77777777" w:rsidR="003F5047" w:rsidRDefault="00E36989">
      <w:pPr>
        <w:pStyle w:val="ListParagraph"/>
        <w:numPr>
          <w:ilvl w:val="0"/>
          <w:numId w:val="2"/>
        </w:numPr>
        <w:spacing w:after="60"/>
      </w:pPr>
      <w:r>
        <w:rPr>
          <w:b/>
          <w:bCs/>
          <w:color w:val="1E293B"/>
        </w:rPr>
        <w:t xml:space="preserve">Longevity. </w:t>
      </w:r>
      <w:r>
        <w:rPr>
          <w:color w:val="1E293B"/>
        </w:rPr>
        <w:t>Immune restoration, cellular repair, anti-aging</w:t>
      </w:r>
    </w:p>
    <w:p w14:paraId="259EACD0" w14:textId="77777777" w:rsidR="003F5047" w:rsidRDefault="00E36989">
      <w:pPr>
        <w:pStyle w:val="ListParagraph"/>
        <w:numPr>
          <w:ilvl w:val="0"/>
          <w:numId w:val="2"/>
        </w:numPr>
        <w:spacing w:after="60"/>
      </w:pPr>
      <w:r>
        <w:rPr>
          <w:b/>
          <w:bCs/>
          <w:color w:val="1E293B"/>
        </w:rPr>
        <w:t xml:space="preserve">Performance. </w:t>
      </w:r>
      <w:r>
        <w:rPr>
          <w:color w:val="1E293B"/>
        </w:rPr>
        <w:t>Muscle recovery, endurance, growth hormone support</w:t>
      </w:r>
    </w:p>
    <w:p w14:paraId="5358653A" w14:textId="77777777" w:rsidR="003F5047" w:rsidRDefault="00E36989">
      <w:pPr>
        <w:pStyle w:val="ListParagraph"/>
        <w:numPr>
          <w:ilvl w:val="0"/>
          <w:numId w:val="2"/>
        </w:numPr>
        <w:spacing w:after="60"/>
      </w:pPr>
      <w:r>
        <w:rPr>
          <w:b/>
          <w:bCs/>
          <w:color w:val="1E293B"/>
        </w:rPr>
        <w:t xml:space="preserve">Cognitive. </w:t>
      </w:r>
      <w:r>
        <w:rPr>
          <w:color w:val="1E293B"/>
        </w:rPr>
        <w:t>Focus, neuroprotection, stress resilience</w:t>
      </w:r>
    </w:p>
    <w:p w14:paraId="01304EB8" w14:textId="77777777" w:rsidR="003F5047" w:rsidRDefault="00E36989">
      <w:pPr>
        <w:pStyle w:val="ListParagraph"/>
        <w:numPr>
          <w:ilvl w:val="0"/>
          <w:numId w:val="2"/>
        </w:numPr>
        <w:spacing w:after="60"/>
      </w:pPr>
      <w:r>
        <w:rPr>
          <w:b/>
          <w:bCs/>
          <w:color w:val="1E293B"/>
        </w:rPr>
        <w:t xml:space="preserve">Vitality. </w:t>
      </w:r>
      <w:r>
        <w:rPr>
          <w:color w:val="1E293B"/>
        </w:rPr>
        <w:t>Sexual health, hormone support, skin and hair vitality</w:t>
      </w:r>
    </w:p>
    <w:p w14:paraId="3548AADB" w14:textId="77777777" w:rsidR="003F5047" w:rsidRDefault="00E36989">
      <w:pPr>
        <w:spacing w:before="200" w:after="80"/>
      </w:pPr>
      <w:r>
        <w:rPr>
          <w:b/>
          <w:bCs/>
          <w:color w:val="6E746A"/>
          <w:sz w:val="22"/>
          <w:szCs w:val="22"/>
        </w:rPr>
        <w:t>THE OPPORTUNITY</w:t>
      </w:r>
    </w:p>
    <w:p w14:paraId="3FCF6E60" w14:textId="77777777" w:rsidR="003F5047" w:rsidRDefault="00E36989">
      <w:pPr>
        <w:spacing w:after="120"/>
      </w:pPr>
      <w:r>
        <w:rPr>
          <w:color w:val="1E293B"/>
        </w:rPr>
        <w:t>Peptides are the fastest-growing category in clinical aesthetics and longevity medicine. 10.1 million Americans searched for peptides in January 2026 alone, with longevity peptide searches up 300% year-over-year.⁶ The Wall Street Journal, CBS News, TIME, the Associated Press, NPR, New York Magazine, and Elle have all run major coverage in the last 90 days.⁷ U.S. customs data shows peptide and hormone compound imports hit $328 million in the first three quarters of 2025 — doubled from $164 million the year p</w:t>
      </w:r>
      <w:r>
        <w:rPr>
          <w:color w:val="1E293B"/>
        </w:rPr>
        <w:t>rior.⁸ The category is exploding — and it needs guard rails. Mino is building those guard rails. Practices that partner with Mino now are not just buying compounds; they are aligning with the company that is positioning itself to become the trusted authority in the peptide and stem cell space.</w:t>
      </w:r>
    </w:p>
    <w:p w14:paraId="13CA1D8D" w14:textId="77777777" w:rsidR="003F5047" w:rsidRDefault="00E36989">
      <w:r>
        <w:br w:type="page"/>
      </w:r>
    </w:p>
    <w:p w14:paraId="4BDC5CB9" w14:textId="77777777" w:rsidR="003F5047" w:rsidRDefault="00E36989">
      <w:pPr>
        <w:spacing w:after="80"/>
      </w:pPr>
      <w:r>
        <w:rPr>
          <w:b/>
          <w:bCs/>
          <w:color w:val="6E746A"/>
          <w:sz w:val="24"/>
          <w:szCs w:val="24"/>
        </w:rPr>
        <w:t>SOURCES &amp; CITATIONS</w:t>
      </w:r>
    </w:p>
    <w:p w14:paraId="5FDE0F61" w14:textId="77777777" w:rsidR="003F5047" w:rsidRDefault="003F5047">
      <w:pPr>
        <w:pBdr>
          <w:bottom w:val="single" w:sz="4" w:space="0" w:color="6E746A"/>
        </w:pBdr>
        <w:spacing w:after="160"/>
      </w:pPr>
    </w:p>
    <w:p w14:paraId="6500E4D6" w14:textId="77777777" w:rsidR="003F5047" w:rsidRDefault="00E36989">
      <w:pPr>
        <w:spacing w:after="120"/>
      </w:pPr>
      <w:r>
        <w:rPr>
          <w:color w:val="475569"/>
          <w:sz w:val="18"/>
          <w:szCs w:val="18"/>
        </w:rPr>
        <w:t>Every claim in this document is sourced from verified, publicly available reporting and industry data. Full source database (104+ tier-1 citations) available on request.</w:t>
      </w:r>
    </w:p>
    <w:p w14:paraId="6E57D575" w14:textId="77777777" w:rsidR="003F5047" w:rsidRDefault="00E36989">
      <w:pPr>
        <w:spacing w:before="120" w:after="60"/>
      </w:pPr>
      <w:r>
        <w:rPr>
          <w:b/>
          <w:bCs/>
          <w:color w:val="1E293B"/>
        </w:rPr>
        <w:t xml:space="preserve">¹ Gray-market contamination rate: </w:t>
      </w:r>
      <w:r>
        <w:rPr>
          <w:color w:val="1E293B"/>
        </w:rPr>
        <w:t xml:space="preserve">New York Magazine, “Life on Peptide Feels Amazing,” Ezra Marcus, January 26, 2026. Independent testing data from </w:t>
      </w:r>
      <w:proofErr w:type="spellStart"/>
      <w:r>
        <w:rPr>
          <w:color w:val="1E293B"/>
        </w:rPr>
        <w:t>Finnrick</w:t>
      </w:r>
      <w:proofErr w:type="spellEnd"/>
      <w:r>
        <w:rPr>
          <w:color w:val="1E293B"/>
        </w:rPr>
        <w:t xml:space="preserve"> laboratory cited in the article. Approximately 30% of gray-market peptides tested were found to be mislabeled, under- or overdosed, or contaminated with toxins or foreign bacteria.</w:t>
      </w:r>
    </w:p>
    <w:p w14:paraId="3AA4E30A" w14:textId="77777777" w:rsidR="003F5047" w:rsidRDefault="00E36989">
      <w:pPr>
        <w:spacing w:after="60"/>
      </w:pPr>
      <w:r>
        <w:rPr>
          <w:b/>
          <w:bCs/>
          <w:color w:val="1E293B"/>
        </w:rPr>
        <w:t xml:space="preserve">² Chinese factory-direct gray market: </w:t>
      </w:r>
      <w:r>
        <w:rPr>
          <w:color w:val="1E293B"/>
        </w:rPr>
        <w:t xml:space="preserve">WBUR / NPR Here &amp; Now, “People are buying unregulated, injectable peptides from Chinese factories. Are they safe?” March 24, 2026. Reporter Ezra Marcus described purchasing a six-month supply of bootleg </w:t>
      </w:r>
      <w:proofErr w:type="spellStart"/>
      <w:r>
        <w:rPr>
          <w:color w:val="1E293B"/>
        </w:rPr>
        <w:t>Retatrutide</w:t>
      </w:r>
      <w:proofErr w:type="spellEnd"/>
      <w:r>
        <w:rPr>
          <w:color w:val="1E293B"/>
        </w:rPr>
        <w:t xml:space="preserve"> from a Chinese factory via Discord for approximately $150 in Bitcoin.</w:t>
      </w:r>
    </w:p>
    <w:p w14:paraId="62A6C1EF" w14:textId="77777777" w:rsidR="003F5047" w:rsidRDefault="00E36989">
      <w:pPr>
        <w:spacing w:after="60"/>
      </w:pPr>
      <w:r>
        <w:rPr>
          <w:b/>
          <w:bCs/>
          <w:color w:val="1E293B"/>
        </w:rPr>
        <w:t xml:space="preserve">³ UK aesthetics market pivot to longevity: </w:t>
      </w:r>
      <w:r>
        <w:rPr>
          <w:color w:val="1E293B"/>
        </w:rPr>
        <w:t>RARE Group Consulting / Aesthetics &amp; CCR (Clinical Cosmetic Reconstructive) trends report, 2025. Cited in Hamilton Fraser, “Top 10 Aesthetic Treatment Trends for 2025” and “Aesthetic Treatment Trends Shaping the Market in 2026.”</w:t>
      </w:r>
    </w:p>
    <w:p w14:paraId="326ADCB8" w14:textId="77777777" w:rsidR="003F5047" w:rsidRDefault="00E36989">
      <w:pPr>
        <w:spacing w:after="60"/>
      </w:pPr>
      <w:r>
        <w:rPr>
          <w:b/>
          <w:bCs/>
          <w:color w:val="1E293B"/>
        </w:rPr>
        <w:t xml:space="preserve">⁴ UK filler and Botox demand decline: </w:t>
      </w:r>
      <w:r>
        <w:rPr>
          <w:color w:val="1E293B"/>
        </w:rPr>
        <w:t>Bespoke Advantage, “The Booming and Unregulated UK Aesthetics Market,” November 19, 2025. UK injectables market projected to reach £11.7 billion by 2026. Dermal filler interest dropped 31% and Botulinum Toxin dropped 16% in the 12 months to November 2023.</w:t>
      </w:r>
    </w:p>
    <w:p w14:paraId="48A25217" w14:textId="77777777" w:rsidR="003F5047" w:rsidRDefault="00E36989">
      <w:pPr>
        <w:spacing w:after="60"/>
      </w:pPr>
      <w:r>
        <w:rPr>
          <w:b/>
          <w:bCs/>
          <w:color w:val="1E293B"/>
        </w:rPr>
        <w:t>⁵</w:t>
      </w:r>
      <w:r>
        <w:rPr>
          <w:b/>
          <w:bCs/>
          <w:color w:val="1E293B"/>
        </w:rPr>
        <w:t xml:space="preserve"> Hamilton Fraser &amp; UK </w:t>
      </w:r>
      <w:proofErr w:type="spellStart"/>
      <w:r>
        <w:rPr>
          <w:b/>
          <w:bCs/>
          <w:color w:val="1E293B"/>
        </w:rPr>
        <w:t>Peptidology</w:t>
      </w:r>
      <w:proofErr w:type="spellEnd"/>
      <w:r>
        <w:rPr>
          <w:b/>
          <w:bCs/>
          <w:color w:val="1E293B"/>
        </w:rPr>
        <w:t xml:space="preserve"> clinics: </w:t>
      </w:r>
      <w:r>
        <w:rPr>
          <w:color w:val="1E293B"/>
        </w:rPr>
        <w:t>Hamilton Fraser, “Aesthetic Treatment Trends Shaping the Market in 2026.” Levitas Aesthetics London “</w:t>
      </w:r>
      <w:proofErr w:type="spellStart"/>
      <w:r>
        <w:rPr>
          <w:color w:val="1E293B"/>
        </w:rPr>
        <w:t>Peptidology</w:t>
      </w:r>
      <w:proofErr w:type="spellEnd"/>
      <w:r>
        <w:rPr>
          <w:color w:val="1E293B"/>
        </w:rPr>
        <w:t xml:space="preserve">” treatment program. The Catalyst Clinic London peptide therapy services. </w:t>
      </w:r>
      <w:proofErr w:type="spellStart"/>
      <w:r>
        <w:rPr>
          <w:color w:val="1E293B"/>
        </w:rPr>
        <w:t>Aestha</w:t>
      </w:r>
      <w:proofErr w:type="spellEnd"/>
      <w:r>
        <w:rPr>
          <w:color w:val="1E293B"/>
        </w:rPr>
        <w:t xml:space="preserve"> Clinic London peptide treatments.</w:t>
      </w:r>
    </w:p>
    <w:p w14:paraId="16340EA1" w14:textId="77777777" w:rsidR="003F5047" w:rsidRDefault="00E36989">
      <w:pPr>
        <w:spacing w:after="60"/>
      </w:pPr>
      <w:r>
        <w:rPr>
          <w:b/>
          <w:bCs/>
          <w:color w:val="1E293B"/>
        </w:rPr>
        <w:t>⁶</w:t>
      </w:r>
      <w:r>
        <w:rPr>
          <w:b/>
          <w:bCs/>
          <w:color w:val="1E293B"/>
        </w:rPr>
        <w:t xml:space="preserve"> Peptide search volume: </w:t>
      </w:r>
      <w:r>
        <w:rPr>
          <w:color w:val="1E293B"/>
        </w:rPr>
        <w:t xml:space="preserve">CBS News </w:t>
      </w:r>
      <w:proofErr w:type="spellStart"/>
      <w:r>
        <w:rPr>
          <w:color w:val="1E293B"/>
        </w:rPr>
        <w:t>HealthWatch</w:t>
      </w:r>
      <w:proofErr w:type="spellEnd"/>
      <w:r>
        <w:rPr>
          <w:color w:val="1E293B"/>
        </w:rPr>
        <w:t>, “What to know about the ‘wild, wild West’ of viral peptide health claims,” Kerry Breen, March 26, 2026. Citing Google search data analyzed by The Peptide Effect: 10.1 million U.S. peptide-related searches in January 2026, with longevity peptide searches up nearly 300% year-over-year.</w:t>
      </w:r>
    </w:p>
    <w:p w14:paraId="6621FAE5" w14:textId="77777777" w:rsidR="003F5047" w:rsidRDefault="00E36989">
      <w:pPr>
        <w:spacing w:after="60"/>
      </w:pPr>
      <w:r>
        <w:rPr>
          <w:b/>
          <w:bCs/>
          <w:color w:val="1E293B"/>
        </w:rPr>
        <w:t>⁷</w:t>
      </w:r>
      <w:r>
        <w:rPr>
          <w:b/>
          <w:bCs/>
          <w:color w:val="1E293B"/>
        </w:rPr>
        <w:t xml:space="preserve"> Major media coverage: </w:t>
      </w:r>
      <w:r>
        <w:rPr>
          <w:color w:val="1E293B"/>
        </w:rPr>
        <w:t>Wall Street Journal, “Peptides Are Everywhere. RFK Jr. Wants to Make Them Even Easier to Buy,” Sabrina Siddiqui, March 27, 2026. CBS News (above). TIME, “What to Know About the ‘Anti-Aging’ Peptide Shots Trending on Social Media,” Dominique Mosbergen, February 24, 2026. Associated Press, “The trend of unproven peptides is spreading through influencers and RFK Jr. allies,” November 14, 2025 (syndicated to 100+ outlets). NPR, “Influencers are promoting peptides for better health. What d</w:t>
      </w:r>
      <w:r>
        <w:rPr>
          <w:color w:val="1E293B"/>
        </w:rPr>
        <w:t>oes the science say?” February 23, 2026. New York Magazine (above). Elle, “Peptide Shots Explained.”</w:t>
      </w:r>
    </w:p>
    <w:p w14:paraId="40A31D2D" w14:textId="77777777" w:rsidR="003F5047" w:rsidRDefault="00E36989">
      <w:pPr>
        <w:spacing w:after="60"/>
      </w:pPr>
      <w:r>
        <w:rPr>
          <w:b/>
          <w:bCs/>
          <w:color w:val="1E293B"/>
        </w:rPr>
        <w:t>⁸</w:t>
      </w:r>
      <w:r>
        <w:rPr>
          <w:b/>
          <w:bCs/>
          <w:color w:val="1E293B"/>
        </w:rPr>
        <w:t xml:space="preserve"> U.S. customs peptide imports: </w:t>
      </w:r>
      <w:r>
        <w:rPr>
          <w:color w:val="1E293B"/>
        </w:rPr>
        <w:t>Advisory Board Daily Briefing, “Peptides are the latest wellness trend. But do they work?” February 26, 2026. U.S. customs data on peptide and hormone compound imports: $328 million in the first three quarters of 2025, doubled from $164 million in the same period of 2024.</w:t>
      </w:r>
    </w:p>
    <w:p w14:paraId="4CA31619" w14:textId="77777777" w:rsidR="003F5047" w:rsidRDefault="00E36989">
      <w:pPr>
        <w:spacing w:before="160" w:after="60"/>
      </w:pPr>
      <w:r>
        <w:rPr>
          <w:b/>
          <w:bCs/>
          <w:color w:val="1E293B"/>
        </w:rPr>
        <w:t xml:space="preserve">EU-GMP &amp; European pharmaceutical guidelines: </w:t>
      </w:r>
      <w:r>
        <w:rPr>
          <w:color w:val="1E293B"/>
        </w:rPr>
        <w:t>European Medicines Agency (EMA) Good Manufacturing Practice (GMP) guidelines, including Annex 1 (Manufacture of Sterile Medicinal Products), revised 2022. EU pharmaceutical regulatory framework as established by Directive 2001/83/EC and Regulation (EC) No 726/2004.</w:t>
      </w:r>
    </w:p>
    <w:p w14:paraId="27939340" w14:textId="77777777" w:rsidR="003F5047" w:rsidRDefault="00E36989">
      <w:pPr>
        <w:spacing w:before="160" w:after="120"/>
      </w:pPr>
      <w:r>
        <w:rPr>
          <w:color w:val="475569"/>
          <w:sz w:val="18"/>
          <w:szCs w:val="18"/>
        </w:rPr>
        <w:t>This document is for informational purposes only. Mino Peptides operates under U.S. and international pharmaceutical and regulatory frameworks. Compounds and protocols are provided to licensed practitioners for use within their scope of practice.</w:t>
      </w:r>
    </w:p>
    <w:p w14:paraId="6384D3BE" w14:textId="77777777" w:rsidR="003F5047" w:rsidRDefault="003F5047">
      <w:pPr>
        <w:pBdr>
          <w:top w:val="single" w:sz="6" w:space="0" w:color="6E746A"/>
        </w:pBdr>
        <w:spacing w:before="240" w:after="40"/>
      </w:pPr>
    </w:p>
    <w:p w14:paraId="79BC0386" w14:textId="77777777" w:rsidR="003F5047" w:rsidRDefault="00E36989">
      <w:pPr>
        <w:spacing w:after="40"/>
        <w:jc w:val="center"/>
      </w:pPr>
      <w:r>
        <w:rPr>
          <w:b/>
          <w:bCs/>
          <w:color w:val="6E746A"/>
          <w:sz w:val="22"/>
          <w:szCs w:val="22"/>
        </w:rPr>
        <w:t>BECOME A MINO PARTNER</w:t>
      </w:r>
    </w:p>
    <w:p w14:paraId="3CE03446" w14:textId="77777777" w:rsidR="003F5047" w:rsidRDefault="00E36989">
      <w:pPr>
        <w:spacing w:after="40"/>
        <w:jc w:val="center"/>
      </w:pPr>
      <w:proofErr w:type="spellStart"/>
      <w:r>
        <w:rPr>
          <w:b/>
          <w:bCs/>
          <w:color w:val="1E293B"/>
        </w:rPr>
        <w:t>hello@mino.life</w:t>
      </w:r>
      <w:proofErr w:type="spellEnd"/>
    </w:p>
    <w:p w14:paraId="0042405E" w14:textId="77777777" w:rsidR="003F5047" w:rsidRDefault="00E36989">
      <w:pPr>
        <w:jc w:val="center"/>
      </w:pPr>
      <w:r>
        <w:rPr>
          <w:color w:val="475569"/>
          <w:sz w:val="18"/>
          <w:szCs w:val="18"/>
        </w:rPr>
        <w:t>Inquire for full compound catalogue, pricing, and clinical onboarding details.</w:t>
      </w:r>
    </w:p>
    <w:sectPr w:rsidR="003F504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F7006"/>
    <w:multiLevelType w:val="hybridMultilevel"/>
    <w:tmpl w:val="BD26DFFC"/>
    <w:lvl w:ilvl="0" w:tplc="6E3A2C70">
      <w:start w:val="1"/>
      <w:numFmt w:val="bullet"/>
      <w:lvlText w:val="•"/>
      <w:lvlJc w:val="left"/>
      <w:pPr>
        <w:ind w:left="540" w:hanging="270"/>
      </w:pPr>
    </w:lvl>
    <w:lvl w:ilvl="1" w:tplc="1C26207C">
      <w:numFmt w:val="decimal"/>
      <w:lvlText w:val=""/>
      <w:lvlJc w:val="left"/>
    </w:lvl>
    <w:lvl w:ilvl="2" w:tplc="7ADCEBF2">
      <w:numFmt w:val="decimal"/>
      <w:lvlText w:val=""/>
      <w:lvlJc w:val="left"/>
    </w:lvl>
    <w:lvl w:ilvl="3" w:tplc="65AAC48C">
      <w:numFmt w:val="decimal"/>
      <w:lvlText w:val=""/>
      <w:lvlJc w:val="left"/>
    </w:lvl>
    <w:lvl w:ilvl="4" w:tplc="E3A85200">
      <w:numFmt w:val="decimal"/>
      <w:lvlText w:val=""/>
      <w:lvlJc w:val="left"/>
    </w:lvl>
    <w:lvl w:ilvl="5" w:tplc="2C3C76CC">
      <w:numFmt w:val="decimal"/>
      <w:lvlText w:val=""/>
      <w:lvlJc w:val="left"/>
    </w:lvl>
    <w:lvl w:ilvl="6" w:tplc="D5CC9D08">
      <w:numFmt w:val="decimal"/>
      <w:lvlText w:val=""/>
      <w:lvlJc w:val="left"/>
    </w:lvl>
    <w:lvl w:ilvl="7" w:tplc="E2C414A0">
      <w:numFmt w:val="decimal"/>
      <w:lvlText w:val=""/>
      <w:lvlJc w:val="left"/>
    </w:lvl>
    <w:lvl w:ilvl="8" w:tplc="8AB81508">
      <w:numFmt w:val="decimal"/>
      <w:lvlText w:val=""/>
      <w:lvlJc w:val="left"/>
    </w:lvl>
  </w:abstractNum>
  <w:abstractNum w:abstractNumId="1" w15:restartNumberingAfterBreak="0">
    <w:nsid w:val="5F6A3206"/>
    <w:multiLevelType w:val="hybridMultilevel"/>
    <w:tmpl w:val="83722B2E"/>
    <w:lvl w:ilvl="0" w:tplc="DC1CD948">
      <w:start w:val="1"/>
      <w:numFmt w:val="bullet"/>
      <w:lvlText w:val="●"/>
      <w:lvlJc w:val="left"/>
      <w:pPr>
        <w:ind w:left="720" w:hanging="360"/>
      </w:pPr>
    </w:lvl>
    <w:lvl w:ilvl="1" w:tplc="22128AB8">
      <w:start w:val="1"/>
      <w:numFmt w:val="bullet"/>
      <w:lvlText w:val="○"/>
      <w:lvlJc w:val="left"/>
      <w:pPr>
        <w:ind w:left="1440" w:hanging="360"/>
      </w:pPr>
    </w:lvl>
    <w:lvl w:ilvl="2" w:tplc="4B464BC2">
      <w:start w:val="1"/>
      <w:numFmt w:val="bullet"/>
      <w:lvlText w:val="■"/>
      <w:lvlJc w:val="left"/>
      <w:pPr>
        <w:ind w:left="2160" w:hanging="360"/>
      </w:pPr>
    </w:lvl>
    <w:lvl w:ilvl="3" w:tplc="AABEA912">
      <w:start w:val="1"/>
      <w:numFmt w:val="bullet"/>
      <w:lvlText w:val="●"/>
      <w:lvlJc w:val="left"/>
      <w:pPr>
        <w:ind w:left="2880" w:hanging="360"/>
      </w:pPr>
    </w:lvl>
    <w:lvl w:ilvl="4" w:tplc="890CFB28">
      <w:start w:val="1"/>
      <w:numFmt w:val="bullet"/>
      <w:lvlText w:val="○"/>
      <w:lvlJc w:val="left"/>
      <w:pPr>
        <w:ind w:left="3600" w:hanging="360"/>
      </w:pPr>
    </w:lvl>
    <w:lvl w:ilvl="5" w:tplc="F20C5F64">
      <w:start w:val="1"/>
      <w:numFmt w:val="bullet"/>
      <w:lvlText w:val="■"/>
      <w:lvlJc w:val="left"/>
      <w:pPr>
        <w:ind w:left="4320" w:hanging="360"/>
      </w:pPr>
    </w:lvl>
    <w:lvl w:ilvl="6" w:tplc="DA8A827E">
      <w:start w:val="1"/>
      <w:numFmt w:val="bullet"/>
      <w:lvlText w:val="●"/>
      <w:lvlJc w:val="left"/>
      <w:pPr>
        <w:ind w:left="5040" w:hanging="360"/>
      </w:pPr>
    </w:lvl>
    <w:lvl w:ilvl="7" w:tplc="9ABC8C88">
      <w:start w:val="1"/>
      <w:numFmt w:val="bullet"/>
      <w:lvlText w:val="●"/>
      <w:lvlJc w:val="left"/>
      <w:pPr>
        <w:ind w:left="5760" w:hanging="360"/>
      </w:pPr>
    </w:lvl>
    <w:lvl w:ilvl="8" w:tplc="AA921098">
      <w:start w:val="1"/>
      <w:numFmt w:val="bullet"/>
      <w:lvlText w:val="●"/>
      <w:lvlJc w:val="left"/>
      <w:pPr>
        <w:ind w:left="6480" w:hanging="360"/>
      </w:pPr>
    </w:lvl>
  </w:abstractNum>
  <w:num w:numId="1" w16cid:durableId="197592833">
    <w:abstractNumId w:val="1"/>
    <w:lvlOverride w:ilvl="0">
      <w:startOverride w:val="1"/>
    </w:lvlOverride>
  </w:num>
  <w:num w:numId="2" w16cid:durableId="1541823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047"/>
    <w:rsid w:val="003F5047"/>
    <w:rsid w:val="00C15DBE"/>
    <w:rsid w:val="00E33D96"/>
    <w:rsid w:val="00E3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304D7CE-7DA6-2D44-867A-C8A44580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1494</Words>
  <Characters>8521</Characters>
  <Application>Microsoft Office Word</Application>
  <DocSecurity>0</DocSecurity>
  <Lines>71</Lines>
  <Paragraphs>19</Paragraphs>
  <ScaleCrop>false</ScaleCrop>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Straus</cp:lastModifiedBy>
  <cp:revision>2</cp:revision>
  <dcterms:created xsi:type="dcterms:W3CDTF">2026-04-07T00:01:00Z</dcterms:created>
  <dcterms:modified xsi:type="dcterms:W3CDTF">2026-04-07T00:01:00Z</dcterms:modified>
</cp:coreProperties>
</file>