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A1F5D" w14:textId="77777777" w:rsidR="004E3113" w:rsidRDefault="004E3113" w:rsidP="004E3113">
      <w:pPr>
        <w:pStyle w:val="1"/>
      </w:pPr>
      <w:proofErr w:type="spellStart"/>
      <w:r>
        <w:rPr>
          <w:rFonts w:hint="eastAsia"/>
        </w:rPr>
        <w:t>DuMux</w:t>
      </w:r>
      <w:proofErr w:type="spellEnd"/>
    </w:p>
    <w:p w14:paraId="2111F972" w14:textId="77777777" w:rsidR="004E3113" w:rsidRPr="002A60A1" w:rsidRDefault="004E3113" w:rsidP="004E3113">
      <w:pPr>
        <w:ind w:firstLine="480"/>
      </w:pPr>
      <w:r>
        <w:rPr>
          <w:rFonts w:hint="eastAsia"/>
        </w:rPr>
        <w:t>工作流程：</w:t>
      </w:r>
      <w:proofErr w:type="spellStart"/>
      <w:r>
        <w:rPr>
          <w:rFonts w:hint="eastAsia"/>
        </w:rPr>
        <w:t>Gmsh</w:t>
      </w:r>
      <w:proofErr w:type="spellEnd"/>
      <w:r>
        <w:rPr>
          <w:rFonts w:hint="eastAsia"/>
        </w:rPr>
        <w:t>网格划分；</w:t>
      </w:r>
      <w:proofErr w:type="spellStart"/>
      <w:r>
        <w:rPr>
          <w:rFonts w:hint="eastAsia"/>
        </w:rPr>
        <w:t>Gnuplot</w:t>
      </w:r>
      <w:proofErr w:type="spellEnd"/>
      <w:r>
        <w:rPr>
          <w:rFonts w:hint="eastAsia"/>
        </w:rPr>
        <w:t>和</w:t>
      </w:r>
      <w:r>
        <w:rPr>
          <w:rFonts w:hint="eastAsia"/>
        </w:rPr>
        <w:t>Matplotlib</w:t>
      </w:r>
      <w:r>
        <w:rPr>
          <w:rFonts w:hint="eastAsia"/>
        </w:rPr>
        <w:t>作图，</w:t>
      </w:r>
      <w:proofErr w:type="spellStart"/>
      <w:r>
        <w:rPr>
          <w:rFonts w:hint="eastAsia"/>
        </w:rPr>
        <w:t>Paraview</w:t>
      </w:r>
      <w:proofErr w:type="spellEnd"/>
      <w:r>
        <w:rPr>
          <w:rFonts w:hint="eastAsia"/>
        </w:rPr>
        <w:t>可视化。</w:t>
      </w:r>
    </w:p>
    <w:p w14:paraId="499B48E7" w14:textId="77777777" w:rsidR="004E3113" w:rsidRDefault="004E3113" w:rsidP="004E3113">
      <w:pPr>
        <w:pStyle w:val="31"/>
      </w:pPr>
      <w:r>
        <w:rPr>
          <w:rFonts w:hint="eastAsia"/>
        </w:rPr>
        <w:t>多孔介质中的多相流及输移</w:t>
      </w:r>
    </w:p>
    <w:p w14:paraId="6548B27D" w14:textId="77777777" w:rsidR="004E3113" w:rsidRDefault="004E3113" w:rsidP="004E3113">
      <w:pPr>
        <w:ind w:firstLine="480"/>
      </w:pPr>
      <w:r>
        <w:rPr>
          <w:rFonts w:hint="eastAsia"/>
        </w:rPr>
        <w:t>下面是基于</w:t>
      </w:r>
      <w:proofErr w:type="spellStart"/>
      <w:r>
        <w:rPr>
          <w:rFonts w:hint="eastAsia"/>
        </w:rPr>
        <w:t>Norne</w:t>
      </w:r>
      <w:proofErr w:type="spellEnd"/>
      <w:r>
        <w:rPr>
          <w:rFonts w:hint="eastAsia"/>
        </w:rPr>
        <w:t>数据集的两相流（水和石油）的模拟。空隙场，各向异性渗透场，计算网格</w:t>
      </w:r>
      <w:r>
        <w:rPr>
          <w:rFonts w:hint="eastAsia"/>
        </w:rPr>
        <w:t>M</w:t>
      </w:r>
      <w:r>
        <w:rPr>
          <w:rFonts w:hint="eastAsia"/>
        </w:rPr>
        <w:t>的单元</w:t>
      </w:r>
      <w:r>
        <w:rPr>
          <w:rFonts w:hint="eastAsia"/>
        </w:rPr>
        <w:t>E</w:t>
      </w:r>
      <w:r>
        <w:rPr>
          <w:rFonts w:hint="eastAsia"/>
        </w:rPr>
        <w:t>，注水和提取井的位置如图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30F446D1" w14:textId="77777777" w:rsidR="004E3113" w:rsidRDefault="004E3113" w:rsidP="004E3113">
      <w:pPr>
        <w:ind w:firstLine="480"/>
      </w:pPr>
      <w:r>
        <w:rPr>
          <w:rFonts w:hint="eastAsia"/>
        </w:rPr>
        <w:t>计算区域由</w:t>
      </w:r>
      <w:r w:rsidRPr="0069725C">
        <w:rPr>
          <w:rFonts w:hint="eastAsia"/>
          <w:color w:val="FF0000"/>
        </w:rPr>
        <w:t>corner-point grid</w:t>
      </w:r>
      <w:r>
        <w:rPr>
          <w:rFonts w:hint="eastAsia"/>
        </w:rPr>
        <w:t>描述</w:t>
      </w:r>
      <w:r>
        <w:rPr>
          <w:rFonts w:hint="eastAsia"/>
        </w:rPr>
        <w:t>(</w:t>
      </w:r>
      <w:proofErr w:type="spellStart"/>
      <w:r>
        <w:rPr>
          <w:kern w:val="0"/>
        </w:rPr>
        <w:t>Aarnes</w:t>
      </w:r>
      <w:proofErr w:type="spellEnd"/>
      <w:r>
        <w:rPr>
          <w:rFonts w:hint="eastAsia"/>
          <w:kern w:val="0"/>
        </w:rPr>
        <w:t>, 2008</w:t>
      </w:r>
      <w:r>
        <w:rPr>
          <w:rFonts w:hint="eastAsia"/>
        </w:rPr>
        <w:t>)</w:t>
      </w:r>
      <w:r>
        <w:rPr>
          <w:rFonts w:hint="eastAsia"/>
        </w:rPr>
        <w:t>，使用</w:t>
      </w:r>
      <w:r>
        <w:rPr>
          <w:rFonts w:hint="eastAsia"/>
        </w:rPr>
        <w:t>DUNE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omp</w:t>
      </w:r>
      <w:proofErr w:type="spellEnd"/>
      <w:r>
        <w:rPr>
          <w:rFonts w:hint="eastAsia"/>
        </w:rPr>
        <w:t>-grid (</w:t>
      </w:r>
      <w:r>
        <w:rPr>
          <w:kern w:val="0"/>
        </w:rPr>
        <w:t>Rasmussen</w:t>
      </w:r>
      <w:r>
        <w:rPr>
          <w:rFonts w:hint="eastAsia"/>
          <w:kern w:val="0"/>
        </w:rPr>
        <w:t>, 2020)</w:t>
      </w:r>
      <w:r>
        <w:rPr>
          <w:rFonts w:hint="eastAsia"/>
        </w:rPr>
        <w:t>的网格接口实施。不可压缩不可穿透两相流模型控制方程和参数见文献</w:t>
      </w:r>
      <w:r>
        <w:rPr>
          <w:rFonts w:hint="eastAsia"/>
        </w:rPr>
        <w:t>(</w:t>
      </w:r>
      <w:r>
        <w:rPr>
          <w:kern w:val="0"/>
        </w:rPr>
        <w:t>Schneider</w:t>
      </w:r>
      <w:r>
        <w:rPr>
          <w:rFonts w:hint="eastAsia"/>
          <w:kern w:val="0"/>
        </w:rPr>
        <w:t>, 2018)</w:t>
      </w:r>
      <w:r>
        <w:rPr>
          <w:rFonts w:hint="eastAsia"/>
        </w:rPr>
        <w:t>的式</w:t>
      </w:r>
      <w:r w:rsidRPr="0069725C">
        <w:rPr>
          <w:rFonts w:hint="eastAsia"/>
          <w:highlight w:val="yellow"/>
        </w:rPr>
        <w:t>(56-60)</w:t>
      </w:r>
      <w:r w:rsidRPr="0069725C">
        <w:rPr>
          <w:rFonts w:hint="eastAsia"/>
          <w:highlight w:val="yellow"/>
        </w:rPr>
        <w:t>，表</w:t>
      </w:r>
      <w:r w:rsidRPr="0069725C">
        <w:rPr>
          <w:rFonts w:hint="eastAsia"/>
          <w:highlight w:val="yellow"/>
        </w:rPr>
        <w:t>3</w:t>
      </w:r>
      <w:r>
        <w:rPr>
          <w:rFonts w:hint="eastAsia"/>
        </w:rPr>
        <w:t>。</w:t>
      </w:r>
    </w:p>
    <w:p w14:paraId="264D9EDD" w14:textId="77777777" w:rsidR="004E3113" w:rsidRDefault="004E3113" w:rsidP="004E3113">
      <w:pPr>
        <w:ind w:firstLine="480"/>
      </w:pPr>
      <w:r>
        <w:rPr>
          <w:rFonts w:hint="eastAsia"/>
        </w:rPr>
        <w:t>非线性耦合</w:t>
      </w:r>
      <w:r>
        <w:rPr>
          <w:rFonts w:hint="eastAsia"/>
        </w:rPr>
        <w:t>PDE</w:t>
      </w:r>
      <w:r>
        <w:rPr>
          <w:rFonts w:hint="eastAsia"/>
        </w:rPr>
        <w:t>使用</w:t>
      </w:r>
      <w:r>
        <w:rPr>
          <w:rFonts w:hint="eastAsia"/>
        </w:rPr>
        <w:t>TPFA</w:t>
      </w:r>
      <w:r>
        <w:rPr>
          <w:rFonts w:hint="eastAsia"/>
        </w:rPr>
        <w:t>单元中心的有限体积格式在空间上离散，时间上是由向后欧拉格式离散。初始条件是：整个计算</w:t>
      </w:r>
      <w:proofErr w:type="gramStart"/>
      <w:r>
        <w:rPr>
          <w:rFonts w:hint="eastAsia"/>
        </w:rPr>
        <w:t>域都是</w:t>
      </w:r>
      <w:proofErr w:type="gramEnd"/>
      <w:r>
        <w:rPr>
          <w:rFonts w:hint="eastAsia"/>
        </w:rPr>
        <w:t>全饱和的石油。</w:t>
      </w:r>
      <w:proofErr w:type="gramStart"/>
      <w:r>
        <w:rPr>
          <w:rFonts w:hint="eastAsia"/>
        </w:rPr>
        <w:t>井使用</w:t>
      </w:r>
      <w:proofErr w:type="spellStart"/>
      <w:proofErr w:type="gramEnd"/>
      <w:r>
        <w:rPr>
          <w:rFonts w:hint="eastAsia"/>
        </w:rPr>
        <w:t>Peaceman</w:t>
      </w:r>
      <w:proofErr w:type="spellEnd"/>
      <w:r>
        <w:rPr>
          <w:rFonts w:hint="eastAsia"/>
        </w:rPr>
        <w:t>的井模型，施加固定的</w:t>
      </w:r>
      <w:r>
        <w:rPr>
          <w:rFonts w:hint="eastAsia"/>
        </w:rPr>
        <w:t>bore-hole</w:t>
      </w:r>
      <w:r>
        <w:rPr>
          <w:rFonts w:hint="eastAsia"/>
        </w:rPr>
        <w:t>压力</w:t>
      </w:r>
      <w:r>
        <w:rPr>
          <w:rFonts w:hint="eastAsia"/>
        </w:rPr>
        <w:t>(</w:t>
      </w:r>
      <w:proofErr w:type="spellStart"/>
      <w:r>
        <w:rPr>
          <w:rFonts w:hint="eastAsia"/>
        </w:rPr>
        <w:t>Peaceman</w:t>
      </w:r>
      <w:proofErr w:type="spellEnd"/>
      <w:r>
        <w:rPr>
          <w:rFonts w:hint="eastAsia"/>
        </w:rPr>
        <w:t>, 1978)</w:t>
      </w:r>
      <w:r>
        <w:rPr>
          <w:rFonts w:hint="eastAsia"/>
        </w:rPr>
        <w:t>。</w:t>
      </w:r>
    </w:p>
    <w:p w14:paraId="0AD43D16" w14:textId="77777777" w:rsidR="004E3113" w:rsidRDefault="004E3113" w:rsidP="004E3113">
      <w:pPr>
        <w:ind w:firstLine="480"/>
        <w:rPr>
          <w:kern w:val="0"/>
        </w:rPr>
      </w:pPr>
      <w:r>
        <w:rPr>
          <w:kern w:val="0"/>
        </w:rPr>
        <w:t xml:space="preserve">M. Schneider, B. </w:t>
      </w:r>
      <w:proofErr w:type="spellStart"/>
      <w:r>
        <w:rPr>
          <w:kern w:val="0"/>
        </w:rPr>
        <w:t>Flemisch</w:t>
      </w:r>
      <w:proofErr w:type="spellEnd"/>
      <w:r>
        <w:rPr>
          <w:kern w:val="0"/>
        </w:rPr>
        <w:t xml:space="preserve">, R. </w:t>
      </w:r>
      <w:proofErr w:type="spellStart"/>
      <w:r>
        <w:rPr>
          <w:kern w:val="0"/>
        </w:rPr>
        <w:t>Helmig</w:t>
      </w:r>
      <w:proofErr w:type="spellEnd"/>
      <w:r>
        <w:rPr>
          <w:kern w:val="0"/>
        </w:rPr>
        <w:t xml:space="preserve">, K. Terekhov, H. </w:t>
      </w:r>
      <w:proofErr w:type="spellStart"/>
      <w:r>
        <w:rPr>
          <w:kern w:val="0"/>
        </w:rPr>
        <w:t>Tchelepi</w:t>
      </w:r>
      <w:proofErr w:type="spellEnd"/>
      <w:r>
        <w:rPr>
          <w:kern w:val="0"/>
        </w:rPr>
        <w:t>, 2018</w:t>
      </w:r>
      <w:r>
        <w:rPr>
          <w:rFonts w:hint="eastAsia"/>
          <w:kern w:val="0"/>
        </w:rPr>
        <w:t xml:space="preserve">. </w:t>
      </w:r>
      <w:r>
        <w:rPr>
          <w:kern w:val="0"/>
        </w:rPr>
        <w:t xml:space="preserve">Monotone nonlinear finite-volume method for challenging grids, </w:t>
      </w:r>
      <w:proofErr w:type="spellStart"/>
      <w:r>
        <w:rPr>
          <w:kern w:val="0"/>
        </w:rPr>
        <w:t>Comput</w:t>
      </w:r>
      <w:proofErr w:type="spellEnd"/>
      <w:r>
        <w:rPr>
          <w:kern w:val="0"/>
        </w:rPr>
        <w:t xml:space="preserve">. </w:t>
      </w:r>
      <w:proofErr w:type="spellStart"/>
      <w:r>
        <w:rPr>
          <w:kern w:val="0"/>
        </w:rPr>
        <w:t>Geosci</w:t>
      </w:r>
      <w:proofErr w:type="spellEnd"/>
      <w:r>
        <w:rPr>
          <w:kern w:val="0"/>
        </w:rPr>
        <w:t>.</w:t>
      </w:r>
      <w:r>
        <w:rPr>
          <w:rFonts w:hint="eastAsia"/>
          <w:kern w:val="0"/>
        </w:rPr>
        <w:t xml:space="preserve"> </w:t>
      </w:r>
      <w:r>
        <w:rPr>
          <w:kern w:val="0"/>
        </w:rPr>
        <w:t>22 (2)</w:t>
      </w:r>
      <w:r>
        <w:rPr>
          <w:rFonts w:hint="eastAsia"/>
          <w:kern w:val="0"/>
        </w:rPr>
        <w:t xml:space="preserve">: </w:t>
      </w:r>
      <w:r>
        <w:rPr>
          <w:kern w:val="0"/>
        </w:rPr>
        <w:t>565</w:t>
      </w:r>
      <w:r>
        <w:rPr>
          <w:rFonts w:ascii="宋体" w:eastAsia="宋体" w:hAnsi="宋体" w:cs="宋体" w:hint="eastAsia"/>
          <w:kern w:val="0"/>
        </w:rPr>
        <w:t>-</w:t>
      </w:r>
      <w:r>
        <w:rPr>
          <w:kern w:val="0"/>
        </w:rPr>
        <w:t>586</w:t>
      </w:r>
      <w:r>
        <w:rPr>
          <w:rFonts w:hint="eastAsia"/>
          <w:kern w:val="0"/>
        </w:rPr>
        <w:t>.</w:t>
      </w:r>
    </w:p>
    <w:p w14:paraId="0B381C55" w14:textId="77777777" w:rsidR="004E3113" w:rsidRDefault="004E3113" w:rsidP="004E3113">
      <w:pPr>
        <w:ind w:firstLine="480"/>
        <w:rPr>
          <w:kern w:val="0"/>
        </w:rPr>
      </w:pPr>
      <w:r>
        <w:rPr>
          <w:kern w:val="0"/>
        </w:rPr>
        <w:t xml:space="preserve">J.E. </w:t>
      </w:r>
      <w:proofErr w:type="spellStart"/>
      <w:r>
        <w:rPr>
          <w:kern w:val="0"/>
        </w:rPr>
        <w:t>Aarnes</w:t>
      </w:r>
      <w:proofErr w:type="spellEnd"/>
      <w:r>
        <w:rPr>
          <w:kern w:val="0"/>
        </w:rPr>
        <w:t xml:space="preserve">, S. Krogstad, K.-A. Lie, </w:t>
      </w:r>
      <w:r>
        <w:rPr>
          <w:rFonts w:hint="eastAsia"/>
          <w:kern w:val="0"/>
        </w:rPr>
        <w:t xml:space="preserve">2008. </w:t>
      </w:r>
      <w:r>
        <w:rPr>
          <w:kern w:val="0"/>
        </w:rPr>
        <w:t xml:space="preserve">Multiscale mixed/mimetic methods on corner-point grids, </w:t>
      </w:r>
      <w:proofErr w:type="spellStart"/>
      <w:r>
        <w:rPr>
          <w:kern w:val="0"/>
        </w:rPr>
        <w:t>Comput</w:t>
      </w:r>
      <w:proofErr w:type="spellEnd"/>
      <w:r>
        <w:rPr>
          <w:kern w:val="0"/>
        </w:rPr>
        <w:t xml:space="preserve">. </w:t>
      </w:r>
      <w:proofErr w:type="spellStart"/>
      <w:r>
        <w:rPr>
          <w:kern w:val="0"/>
        </w:rPr>
        <w:t>Geosci</w:t>
      </w:r>
      <w:proofErr w:type="spellEnd"/>
      <w:r>
        <w:rPr>
          <w:kern w:val="0"/>
        </w:rPr>
        <w:t>. 12 (3)</w:t>
      </w:r>
      <w:r>
        <w:rPr>
          <w:rFonts w:hint="eastAsia"/>
          <w:kern w:val="0"/>
        </w:rPr>
        <w:t>:</w:t>
      </w:r>
      <w:r>
        <w:rPr>
          <w:kern w:val="0"/>
        </w:rPr>
        <w:t xml:space="preserve"> 297</w:t>
      </w:r>
      <w:r>
        <w:rPr>
          <w:rFonts w:ascii="宋体" w:eastAsia="宋体" w:hAnsi="宋体" w:cs="宋体" w:hint="eastAsia"/>
          <w:kern w:val="0"/>
        </w:rPr>
        <w:t>-</w:t>
      </w:r>
      <w:r>
        <w:rPr>
          <w:kern w:val="0"/>
        </w:rPr>
        <w:t>315</w:t>
      </w:r>
      <w:r>
        <w:rPr>
          <w:rFonts w:hint="eastAsia"/>
          <w:kern w:val="0"/>
        </w:rPr>
        <w:t>.</w:t>
      </w:r>
    </w:p>
    <w:p w14:paraId="02A3AA38" w14:textId="77777777" w:rsidR="004E3113" w:rsidRDefault="004E3113" w:rsidP="004E3113">
      <w:pPr>
        <w:ind w:firstLine="480"/>
        <w:rPr>
          <w:kern w:val="0"/>
        </w:rPr>
      </w:pPr>
      <w:r>
        <w:rPr>
          <w:kern w:val="0"/>
        </w:rPr>
        <w:t>A. Fl</w:t>
      </w:r>
      <w:r>
        <w:rPr>
          <w:rFonts w:hint="eastAsia"/>
          <w:kern w:val="0"/>
        </w:rPr>
        <w:t>o</w:t>
      </w:r>
      <w:r>
        <w:rPr>
          <w:kern w:val="0"/>
        </w:rPr>
        <w:t xml:space="preserve"> Rasmussen, T. Harald </w:t>
      </w:r>
      <w:proofErr w:type="spellStart"/>
      <w:r>
        <w:rPr>
          <w:kern w:val="0"/>
        </w:rPr>
        <w:t>Sandve</w:t>
      </w:r>
      <w:proofErr w:type="spellEnd"/>
      <w:r>
        <w:rPr>
          <w:kern w:val="0"/>
        </w:rPr>
        <w:t xml:space="preserve">, K. Bao, A. </w:t>
      </w:r>
      <w:proofErr w:type="spellStart"/>
      <w:r>
        <w:rPr>
          <w:kern w:val="0"/>
        </w:rPr>
        <w:t>Lauser</w:t>
      </w:r>
      <w:proofErr w:type="spellEnd"/>
      <w:r>
        <w:rPr>
          <w:kern w:val="0"/>
        </w:rPr>
        <w:t xml:space="preserve">, J. Hove, B. </w:t>
      </w:r>
      <w:proofErr w:type="spellStart"/>
      <w:r>
        <w:rPr>
          <w:kern w:val="0"/>
        </w:rPr>
        <w:t>Skaflestad</w:t>
      </w:r>
      <w:proofErr w:type="spellEnd"/>
      <w:r>
        <w:rPr>
          <w:kern w:val="0"/>
        </w:rPr>
        <w:t xml:space="preserve">, R. </w:t>
      </w:r>
      <w:proofErr w:type="spellStart"/>
      <w:r>
        <w:rPr>
          <w:kern w:val="0"/>
        </w:rPr>
        <w:t>Klkorn</w:t>
      </w:r>
      <w:proofErr w:type="spellEnd"/>
      <w:r>
        <w:rPr>
          <w:kern w:val="0"/>
        </w:rPr>
        <w:t xml:space="preserve">, M. Blatt, A. Birger </w:t>
      </w:r>
      <w:proofErr w:type="spellStart"/>
      <w:r>
        <w:rPr>
          <w:kern w:val="0"/>
        </w:rPr>
        <w:t>Rustad</w:t>
      </w:r>
      <w:proofErr w:type="spellEnd"/>
      <w:r>
        <w:rPr>
          <w:kern w:val="0"/>
        </w:rPr>
        <w:t xml:space="preserve">, O. </w:t>
      </w:r>
      <w:proofErr w:type="spellStart"/>
      <w:r>
        <w:rPr>
          <w:kern w:val="0"/>
        </w:rPr>
        <w:t>Sareid</w:t>
      </w:r>
      <w:proofErr w:type="spellEnd"/>
      <w:r>
        <w:rPr>
          <w:kern w:val="0"/>
        </w:rPr>
        <w:t>, K.-A. Lie, A.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Thune, </w:t>
      </w:r>
      <w:r>
        <w:rPr>
          <w:rFonts w:hint="eastAsia"/>
          <w:kern w:val="0"/>
        </w:rPr>
        <w:t xml:space="preserve">2020. </w:t>
      </w:r>
      <w:r>
        <w:rPr>
          <w:kern w:val="0"/>
        </w:rPr>
        <w:t xml:space="preserve">The open porous media flow reservoir simulator, </w:t>
      </w:r>
      <w:proofErr w:type="spellStart"/>
      <w:r>
        <w:rPr>
          <w:kern w:val="0"/>
        </w:rPr>
        <w:t>Comput</w:t>
      </w:r>
      <w:proofErr w:type="spellEnd"/>
      <w:r>
        <w:rPr>
          <w:kern w:val="0"/>
        </w:rPr>
        <w:t>. Math. Appl. 81</w:t>
      </w:r>
      <w:r>
        <w:rPr>
          <w:rFonts w:hint="eastAsia"/>
          <w:kern w:val="0"/>
        </w:rPr>
        <w:t>:</w:t>
      </w:r>
      <w:r>
        <w:rPr>
          <w:kern w:val="0"/>
        </w:rPr>
        <w:t xml:space="preserve"> 159</w:t>
      </w:r>
      <w:r>
        <w:rPr>
          <w:rFonts w:ascii="宋体" w:eastAsia="宋体" w:hAnsi="宋体" w:cs="宋体" w:hint="eastAsia"/>
          <w:kern w:val="0"/>
        </w:rPr>
        <w:t>-</w:t>
      </w:r>
      <w:r>
        <w:rPr>
          <w:kern w:val="0"/>
        </w:rPr>
        <w:t>185.</w:t>
      </w:r>
    </w:p>
    <w:p w14:paraId="5BC5E8CE" w14:textId="77777777" w:rsidR="004E3113" w:rsidRDefault="004E3113" w:rsidP="004E3113">
      <w:pPr>
        <w:ind w:firstLine="480"/>
        <w:jc w:val="center"/>
      </w:pPr>
      <w:r>
        <w:rPr>
          <w:noProof/>
        </w:rPr>
        <w:drawing>
          <wp:inline distT="0" distB="0" distL="0" distR="0" wp14:anchorId="4FE4FE05" wp14:editId="1EF1E74D">
            <wp:extent cx="2888002" cy="2884225"/>
            <wp:effectExtent l="19050" t="0" r="759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61" cy="288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10519" w14:textId="77777777" w:rsidR="004E3113" w:rsidRDefault="004E3113" w:rsidP="004E3113">
      <w:pPr>
        <w:ind w:firstLine="480"/>
        <w:jc w:val="center"/>
      </w:pPr>
      <w:r>
        <w:rPr>
          <w:rFonts w:hint="eastAsia"/>
        </w:rPr>
        <w:lastRenderedPageBreak/>
        <w:t>孔隙度与渗透率分布（从</w:t>
      </w:r>
      <w:proofErr w:type="spellStart"/>
      <w:r>
        <w:rPr>
          <w:rFonts w:hint="eastAsia"/>
        </w:rPr>
        <w:t>opm</w:t>
      </w:r>
      <w:proofErr w:type="spellEnd"/>
      <w:r>
        <w:rPr>
          <w:rFonts w:hint="eastAsia"/>
        </w:rPr>
        <w:t>-data</w:t>
      </w:r>
      <w:r>
        <w:rPr>
          <w:rFonts w:hint="eastAsia"/>
        </w:rPr>
        <w:t>模块提取）</w:t>
      </w:r>
    </w:p>
    <w:p w14:paraId="3AAD6DE5" w14:textId="77777777" w:rsidR="004E3113" w:rsidRDefault="004E3113" w:rsidP="004E3113">
      <w:pPr>
        <w:ind w:firstLine="480"/>
      </w:pPr>
      <w:r>
        <w:rPr>
          <w:noProof/>
        </w:rPr>
        <w:drawing>
          <wp:inline distT="0" distB="0" distL="0" distR="0" wp14:anchorId="41433483" wp14:editId="4A4260A1">
            <wp:extent cx="4935087" cy="2120682"/>
            <wp:effectExtent l="19050" t="0" r="0" b="0"/>
            <wp:docPr id="2" name="图片 2" descr="E:\Reservoir_modelling\DuMux\norne_sandp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eservoir_modelling\DuMux\norne_sandp_pla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98" cy="212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DAD8E" w14:textId="77777777" w:rsidR="004E3113" w:rsidRDefault="004E3113" w:rsidP="004E3113">
      <w:pPr>
        <w:ind w:firstLine="480"/>
        <w:jc w:val="center"/>
      </w:pPr>
      <w:r>
        <w:rPr>
          <w:rFonts w:hint="eastAsia"/>
        </w:rPr>
        <w:t>2</w:t>
      </w:r>
      <w:r>
        <w:rPr>
          <w:rFonts w:hint="eastAsia"/>
        </w:rPr>
        <w:t>个注水井，水油两相的地下浓度时空演变过程（液相压力和饱和度的时间演变过程）</w:t>
      </w:r>
    </w:p>
    <w:p w14:paraId="66D7DF60" w14:textId="77777777" w:rsidR="004E3113" w:rsidRDefault="004E3113" w:rsidP="004E3113">
      <w:pPr>
        <w:ind w:firstLine="480"/>
      </w:pPr>
      <w:r>
        <w:rPr>
          <w:rFonts w:hint="eastAsia"/>
          <w:noProof/>
        </w:rPr>
        <w:drawing>
          <wp:inline distT="0" distB="0" distL="0" distR="0" wp14:anchorId="6F81CE90" wp14:editId="61DE4E7D">
            <wp:extent cx="4971349" cy="1389413"/>
            <wp:effectExtent l="19050" t="0" r="701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349" cy="138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147F6" w14:textId="77777777" w:rsidR="004E3113" w:rsidRDefault="004E3113" w:rsidP="004E3113">
      <w:pPr>
        <w:ind w:firstLine="480"/>
      </w:pPr>
    </w:p>
    <w:p w14:paraId="005252EE" w14:textId="77777777" w:rsidR="004E3113" w:rsidRDefault="004E3113" w:rsidP="004E3113">
      <w:pPr>
        <w:pStyle w:val="31"/>
      </w:pPr>
      <w:r>
        <w:rPr>
          <w:rFonts w:hint="eastAsia"/>
        </w:rPr>
        <w:t>CO2</w:t>
      </w:r>
      <w:r>
        <w:rPr>
          <w:rFonts w:hint="eastAsia"/>
        </w:rPr>
        <w:t>封存</w:t>
      </w:r>
    </w:p>
    <w:p w14:paraId="71442E88" w14:textId="77777777" w:rsidR="004E3113" w:rsidRDefault="004E3113" w:rsidP="004E3113">
      <w:pPr>
        <w:ind w:firstLine="480"/>
      </w:pPr>
    </w:p>
    <w:p w14:paraId="5FB9FF79" w14:textId="77777777" w:rsidR="004E3113" w:rsidRDefault="004E3113" w:rsidP="004E3113">
      <w:pPr>
        <w:ind w:firstLine="480"/>
      </w:pPr>
      <w:r>
        <w:rPr>
          <w:noProof/>
        </w:rPr>
        <w:drawing>
          <wp:inline distT="0" distB="0" distL="0" distR="0" wp14:anchorId="28760C12" wp14:editId="53B9CF47">
            <wp:extent cx="4468382" cy="1866303"/>
            <wp:effectExtent l="19050" t="0" r="8368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95" cy="186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AC083" w14:textId="77777777" w:rsidR="004E3113" w:rsidRPr="00340D2D" w:rsidRDefault="004E3113" w:rsidP="004E3113">
      <w:pPr>
        <w:pStyle w:val="31"/>
        <w:rPr>
          <w:kern w:val="0"/>
        </w:rPr>
      </w:pPr>
      <w:r w:rsidRPr="00340D2D">
        <w:rPr>
          <w:kern w:val="0"/>
        </w:rPr>
        <w:t>Fractured rock systems</w:t>
      </w:r>
    </w:p>
    <w:p w14:paraId="4F084F95" w14:textId="77777777" w:rsidR="004E3113" w:rsidRPr="00340D2D" w:rsidRDefault="004E3113" w:rsidP="004E3113">
      <w:pPr>
        <w:ind w:firstLine="480"/>
        <w:rPr>
          <w:kern w:val="0"/>
        </w:rPr>
      </w:pPr>
      <w:r w:rsidRPr="00340D2D">
        <w:rPr>
          <w:kern w:val="0"/>
        </w:rPr>
        <w:t>A discrete fracture model based on the box scheme</w:t>
      </w:r>
    </w:p>
    <w:p w14:paraId="0CE1F9D9" w14:textId="77777777" w:rsidR="004E3113" w:rsidRPr="00340D2D" w:rsidRDefault="004E3113" w:rsidP="004E3113">
      <w:pPr>
        <w:ind w:firstLine="480"/>
        <w:rPr>
          <w:kern w:val="0"/>
        </w:rPr>
      </w:pPr>
      <w:r w:rsidRPr="00340D2D">
        <w:rPr>
          <w:kern w:val="0"/>
        </w:rPr>
        <w:t>Infiltration of CO</w:t>
      </w:r>
      <w:r w:rsidRPr="00340D2D">
        <w:rPr>
          <w:kern w:val="0"/>
          <w:sz w:val="11"/>
          <w:szCs w:val="11"/>
          <w:vertAlign w:val="subscript"/>
        </w:rPr>
        <w:t>2</w:t>
      </w:r>
      <w:r>
        <w:rPr>
          <w:rFonts w:hint="eastAsia"/>
          <w:kern w:val="0"/>
        </w:rPr>
        <w:t xml:space="preserve"> </w:t>
      </w:r>
      <w:r w:rsidRPr="00340D2D">
        <w:rPr>
          <w:kern w:val="0"/>
        </w:rPr>
        <w:t>through an interconnection network of fractures in a fully water saturated medium. Simulation based on a vertex-</w:t>
      </w:r>
      <w:proofErr w:type="spellStart"/>
      <w:r w:rsidRPr="00340D2D">
        <w:rPr>
          <w:kern w:val="0"/>
        </w:rPr>
        <w:t>centred</w:t>
      </w:r>
      <w:proofErr w:type="spellEnd"/>
      <w:r w:rsidRPr="00340D2D">
        <w:rPr>
          <w:kern w:val="0"/>
        </w:rPr>
        <w:t xml:space="preserve"> finite volume scheme </w:t>
      </w:r>
      <w:r w:rsidRPr="00340D2D">
        <w:rPr>
          <w:kern w:val="0"/>
        </w:rPr>
        <w:lastRenderedPageBreak/>
        <w:t>(Box) with auxiliary terms in the balance equations to account for fracture flow (Box-DFM). The scheme is suitable for conducting fractures.</w:t>
      </w:r>
    </w:p>
    <w:p w14:paraId="543AB0D4" w14:textId="77777777" w:rsidR="004E3113" w:rsidRDefault="004E3113" w:rsidP="004E3113">
      <w:pPr>
        <w:ind w:firstLine="480"/>
      </w:pPr>
    </w:p>
    <w:p w14:paraId="6A9E9B4A" w14:textId="77777777" w:rsidR="004E3113" w:rsidRDefault="004E3113" w:rsidP="004E3113">
      <w:pPr>
        <w:ind w:firstLine="480"/>
      </w:pPr>
    </w:p>
    <w:p w14:paraId="61B863C3" w14:textId="77777777" w:rsidR="004E3113" w:rsidRPr="009C460E" w:rsidRDefault="004E3113" w:rsidP="004E3113">
      <w:pPr>
        <w:pStyle w:val="31"/>
        <w:rPr>
          <w:kern w:val="0"/>
        </w:rPr>
      </w:pPr>
      <w:r w:rsidRPr="009C460E">
        <w:rPr>
          <w:kern w:val="0"/>
        </w:rPr>
        <w:t>River engineering applications</w:t>
      </w:r>
    </w:p>
    <w:p w14:paraId="79D80FAC" w14:textId="77777777" w:rsidR="004E3113" w:rsidRPr="009C460E" w:rsidRDefault="004E3113" w:rsidP="004E3113">
      <w:pPr>
        <w:ind w:firstLine="480"/>
        <w:rPr>
          <w:kern w:val="0"/>
        </w:rPr>
      </w:pPr>
      <w:r w:rsidRPr="009C460E">
        <w:rPr>
          <w:kern w:val="0"/>
        </w:rPr>
        <w:t>Shallow water equations (fully implicit)</w:t>
      </w:r>
    </w:p>
    <w:p w14:paraId="70DE1F89" w14:textId="77777777" w:rsidR="004E3113" w:rsidRPr="009C460E" w:rsidRDefault="004E3113" w:rsidP="004E3113">
      <w:pPr>
        <w:ind w:firstLine="480"/>
        <w:rPr>
          <w:kern w:val="0"/>
        </w:rPr>
      </w:pPr>
      <w:r w:rsidRPr="009C460E">
        <w:rPr>
          <w:kern w:val="0"/>
        </w:rPr>
        <w:t>The simulation covers a 11 km long section of the river Rhine and shows flooded areas during an idealized flood event. Water flows from bottom to top. The model has a discharge boundary condition at the inlet and a stage-discharge-curve as boundary condition at the outlet.</w:t>
      </w:r>
    </w:p>
    <w:p w14:paraId="146CB3E6" w14:textId="77777777" w:rsidR="004E3113" w:rsidRPr="009C460E" w:rsidRDefault="004E3113" w:rsidP="004E3113">
      <w:pPr>
        <w:ind w:firstLine="480"/>
        <w:rPr>
          <w:kern w:val="0"/>
        </w:rPr>
      </w:pPr>
      <w:r w:rsidRPr="009C460E">
        <w:rPr>
          <w:kern w:val="0"/>
        </w:rPr>
        <w:t>The simulation is based on the shallow water equations (a depth-averaged, two-dimensional version of the Navier-Stokes equations). The model uses a fully implicit time discretization and a finite volume discretization in space.</w:t>
      </w:r>
    </w:p>
    <w:p w14:paraId="293E2C0A" w14:textId="77777777" w:rsidR="004E3113" w:rsidRDefault="004E3113" w:rsidP="004E3113">
      <w:pPr>
        <w:ind w:firstLine="480"/>
      </w:pPr>
    </w:p>
    <w:p w14:paraId="512C38EC" w14:textId="77777777" w:rsidR="004E3113" w:rsidRDefault="004E3113" w:rsidP="004E3113">
      <w:pPr>
        <w:ind w:firstLine="480"/>
      </w:pPr>
    </w:p>
    <w:p w14:paraId="2890A5E7" w14:textId="77777777" w:rsidR="004E3113" w:rsidRPr="00FD3E99" w:rsidRDefault="004E3113" w:rsidP="004E3113">
      <w:pPr>
        <w:pStyle w:val="31"/>
        <w:rPr>
          <w:kern w:val="0"/>
        </w:rPr>
      </w:pPr>
      <w:r w:rsidRPr="00FD3E99">
        <w:rPr>
          <w:kern w:val="0"/>
        </w:rPr>
        <w:t xml:space="preserve">Fluid flow around the </w:t>
      </w:r>
      <w:proofErr w:type="spellStart"/>
      <w:r w:rsidRPr="00FD3E99">
        <w:rPr>
          <w:kern w:val="0"/>
        </w:rPr>
        <w:t>DuMu</w:t>
      </w:r>
      <w:r w:rsidRPr="00FD3E99">
        <w:rPr>
          <w:kern w:val="0"/>
          <w:sz w:val="20"/>
          <w:szCs w:val="20"/>
          <w:vertAlign w:val="superscript"/>
        </w:rPr>
        <w:t>x</w:t>
      </w:r>
      <w:proofErr w:type="spellEnd"/>
      <w:r>
        <w:rPr>
          <w:rFonts w:hint="eastAsia"/>
          <w:kern w:val="0"/>
        </w:rPr>
        <w:t xml:space="preserve"> </w:t>
      </w:r>
      <w:r w:rsidRPr="00FD3E99">
        <w:rPr>
          <w:kern w:val="0"/>
        </w:rPr>
        <w:t>logo</w:t>
      </w:r>
    </w:p>
    <w:p w14:paraId="50396589" w14:textId="77777777" w:rsidR="004E3113" w:rsidRPr="00FD3E99" w:rsidRDefault="004E3113" w:rsidP="004E3113">
      <w:pPr>
        <w:ind w:firstLine="480"/>
        <w:rPr>
          <w:kern w:val="0"/>
        </w:rPr>
      </w:pPr>
      <w:r w:rsidRPr="00FD3E99">
        <w:rPr>
          <w:kern w:val="0"/>
        </w:rPr>
        <w:t>Navier-Stokes equations</w:t>
      </w:r>
    </w:p>
    <w:p w14:paraId="44F911B6" w14:textId="77777777" w:rsidR="004E3113" w:rsidRPr="00FD3E99" w:rsidRDefault="004E3113" w:rsidP="004E3113">
      <w:pPr>
        <w:ind w:firstLine="480"/>
        <w:rPr>
          <w:kern w:val="0"/>
        </w:rPr>
      </w:pPr>
      <w:r w:rsidRPr="00FD3E99">
        <w:rPr>
          <w:kern w:val="0"/>
        </w:rPr>
        <w:t>The simulation shows fluid flow around the </w:t>
      </w:r>
      <w:proofErr w:type="spellStart"/>
      <w:r w:rsidRPr="00FD3E99">
        <w:rPr>
          <w:kern w:val="0"/>
        </w:rPr>
        <w:t>DuMu</w:t>
      </w:r>
      <w:r w:rsidRPr="00FD3E99">
        <w:rPr>
          <w:kern w:val="0"/>
          <w:sz w:val="11"/>
          <w:szCs w:val="11"/>
          <w:vertAlign w:val="superscript"/>
        </w:rPr>
        <w:t>x</w:t>
      </w:r>
      <w:proofErr w:type="spellEnd"/>
      <w:r w:rsidRPr="00FD3E99">
        <w:rPr>
          <w:kern w:val="0"/>
        </w:rPr>
        <w:t xml:space="preserve"> logo </w:t>
      </w:r>
      <w:proofErr w:type="spellStart"/>
      <w:r w:rsidRPr="00FD3E99">
        <w:rPr>
          <w:kern w:val="0"/>
        </w:rPr>
        <w:t>visualised</w:t>
      </w:r>
      <w:proofErr w:type="spellEnd"/>
      <w:r w:rsidRPr="00FD3E99">
        <w:rPr>
          <w:kern w:val="0"/>
        </w:rPr>
        <w:t xml:space="preserve"> by streamlines. The computational grid is created with the </w:t>
      </w:r>
      <w:proofErr w:type="spellStart"/>
      <w:r w:rsidRPr="00FD3E99">
        <w:rPr>
          <w:kern w:val="0"/>
        </w:rPr>
        <w:t>DuMu</w:t>
      </w:r>
      <w:r w:rsidRPr="00FD3E99">
        <w:rPr>
          <w:kern w:val="0"/>
          <w:sz w:val="11"/>
          <w:szCs w:val="11"/>
          <w:vertAlign w:val="superscript"/>
        </w:rPr>
        <w:t>x</w:t>
      </w:r>
      <w:proofErr w:type="spellEnd"/>
      <w:r w:rsidRPr="00FD3E99">
        <w:rPr>
          <w:kern w:val="0"/>
        </w:rPr>
        <w:t> binary image grid reader which makes use of the Dune grid interface implementation </w:t>
      </w:r>
      <w:hyperlink r:id="rId11" w:history="1">
        <w:r w:rsidRPr="00FD3E99">
          <w:rPr>
            <w:color w:val="00838F"/>
            <w:kern w:val="0"/>
          </w:rPr>
          <w:t>dune-subgrid</w:t>
        </w:r>
      </w:hyperlink>
      <w:r w:rsidRPr="00FD3E99">
        <w:rPr>
          <w:kern w:val="0"/>
        </w:rPr>
        <w:t xml:space="preserve">. The flow solver is based on Newton’s method and the Navier-Stokes equations are </w:t>
      </w:r>
      <w:proofErr w:type="spellStart"/>
      <w:r w:rsidRPr="00FD3E99">
        <w:rPr>
          <w:kern w:val="0"/>
        </w:rPr>
        <w:t>discretised</w:t>
      </w:r>
      <w:proofErr w:type="spellEnd"/>
      <w:r w:rsidRPr="00FD3E99">
        <w:rPr>
          <w:kern w:val="0"/>
        </w:rPr>
        <w:t xml:space="preserve"> with an implicit Euler scheme in time and a staggered grid finite volume scheme in space.</w:t>
      </w:r>
    </w:p>
    <w:p w14:paraId="22293DE6" w14:textId="77777777" w:rsidR="004E3113" w:rsidRDefault="004E3113" w:rsidP="004E3113">
      <w:pPr>
        <w:ind w:firstLine="480"/>
      </w:pPr>
    </w:p>
    <w:p w14:paraId="23385EAC" w14:textId="77777777" w:rsidR="004E3113" w:rsidRDefault="004E3113" w:rsidP="004E3113">
      <w:pPr>
        <w:pStyle w:val="31"/>
      </w:pPr>
      <w:r>
        <w:rPr>
          <w:rFonts w:hint="eastAsia"/>
        </w:rPr>
        <w:t>小结</w:t>
      </w:r>
    </w:p>
    <w:p w14:paraId="4494B637" w14:textId="77777777" w:rsidR="004E3113" w:rsidRDefault="004E3113" w:rsidP="004E3113">
      <w:pPr>
        <w:ind w:firstLine="480"/>
      </w:pPr>
      <w:r>
        <w:rPr>
          <w:rFonts w:hint="eastAsia"/>
        </w:rPr>
        <w:t>具有广泛应用范围的流体模拟程序，特别是地下水多孔介质模拟以及油藏模拟。</w:t>
      </w:r>
    </w:p>
    <w:p w14:paraId="181F2BA2" w14:textId="77777777" w:rsidR="004E3113" w:rsidRDefault="004E3113" w:rsidP="004E3113">
      <w:pPr>
        <w:ind w:firstLine="480"/>
      </w:pPr>
    </w:p>
    <w:p w14:paraId="7ED99C8C" w14:textId="77777777" w:rsidR="004E3113" w:rsidRDefault="004E3113" w:rsidP="004E3113">
      <w:pPr>
        <w:ind w:firstLine="480"/>
      </w:pPr>
    </w:p>
    <w:p w14:paraId="7D57979F" w14:textId="77777777" w:rsidR="004E3113" w:rsidRDefault="004E3113" w:rsidP="004E3113">
      <w:pPr>
        <w:pStyle w:val="1"/>
      </w:pPr>
      <w:r>
        <w:rPr>
          <w:rFonts w:hint="eastAsia"/>
        </w:rPr>
        <w:lastRenderedPageBreak/>
        <w:t>OPM</w:t>
      </w:r>
      <w:r>
        <w:rPr>
          <w:rFonts w:hint="eastAsia"/>
        </w:rPr>
        <w:t>模拟器</w:t>
      </w:r>
    </w:p>
    <w:p w14:paraId="2460BD34" w14:textId="77777777" w:rsidR="004E3113" w:rsidRDefault="004E3113" w:rsidP="004E3113">
      <w:pPr>
        <w:ind w:firstLine="480"/>
      </w:pPr>
      <w:r>
        <w:rPr>
          <w:rFonts w:hint="eastAsia"/>
        </w:rPr>
        <w:t xml:space="preserve">MRST: </w:t>
      </w:r>
      <w:r>
        <w:rPr>
          <w:rFonts w:hint="eastAsia"/>
        </w:rPr>
        <w:t>油藏模拟的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工具箱。</w:t>
      </w:r>
    </w:p>
    <w:p w14:paraId="2E4732E8" w14:textId="77777777" w:rsidR="004E3113" w:rsidRPr="00C34B1C" w:rsidRDefault="004E3113" w:rsidP="004E3113">
      <w:pPr>
        <w:ind w:firstLine="480"/>
      </w:pPr>
    </w:p>
    <w:p w14:paraId="7C78BEE7" w14:textId="77777777" w:rsidR="004E3113" w:rsidRDefault="004E3113" w:rsidP="004E3113">
      <w:pPr>
        <w:ind w:firstLine="480"/>
      </w:pPr>
      <w:r>
        <w:rPr>
          <w:rFonts w:hint="eastAsia"/>
        </w:rPr>
        <w:t>石油界的权威商业软件</w:t>
      </w:r>
      <w:r>
        <w:rPr>
          <w:rFonts w:hint="eastAsia"/>
        </w:rPr>
        <w:t>ECLIPSE</w:t>
      </w:r>
    </w:p>
    <w:p w14:paraId="3F408ED7" w14:textId="77777777" w:rsidR="004E3113" w:rsidRPr="004D6B2C" w:rsidRDefault="004E3113" w:rsidP="004E3113">
      <w:pPr>
        <w:ind w:firstLine="480"/>
      </w:pPr>
      <w:proofErr w:type="spellStart"/>
      <w:r>
        <w:rPr>
          <w:rFonts w:hint="eastAsia"/>
        </w:rPr>
        <w:t>Norne</w:t>
      </w:r>
      <w:proofErr w:type="spellEnd"/>
      <w:r>
        <w:rPr>
          <w:rFonts w:hint="eastAsia"/>
        </w:rPr>
        <w:t>油田</w:t>
      </w:r>
      <w:r>
        <w:rPr>
          <w:rFonts w:hint="eastAsia"/>
        </w:rPr>
        <w:t>(</w:t>
      </w:r>
      <w:r>
        <w:rPr>
          <w:rFonts w:hint="eastAsia"/>
        </w:rPr>
        <w:t>挪威</w:t>
      </w:r>
      <w:r>
        <w:rPr>
          <w:rFonts w:hint="eastAsia"/>
        </w:rPr>
        <w:t>, 1997)</w:t>
      </w:r>
      <w:r>
        <w:rPr>
          <w:rFonts w:hint="eastAsia"/>
        </w:rPr>
        <w:t>，算例：</w:t>
      </w:r>
      <w:r>
        <w:rPr>
          <w:rFonts w:hint="eastAsia"/>
        </w:rPr>
        <w:t>github.com/OPM</w:t>
      </w:r>
    </w:p>
    <w:p w14:paraId="2AB4AFBD" w14:textId="77777777" w:rsidR="004E3113" w:rsidRPr="004D6B2C" w:rsidRDefault="004E3113" w:rsidP="004E3113">
      <w:pPr>
        <w:ind w:firstLine="480"/>
      </w:pPr>
    </w:p>
    <w:p w14:paraId="70C6B322" w14:textId="77777777" w:rsidR="004E3113" w:rsidRDefault="004E3113" w:rsidP="004E3113">
      <w:pPr>
        <w:ind w:firstLine="480"/>
      </w:pPr>
      <w:r>
        <w:rPr>
          <w:rFonts w:hint="eastAsia"/>
        </w:rPr>
        <w:t>OPM</w:t>
      </w:r>
      <w:r>
        <w:rPr>
          <w:rFonts w:hint="eastAsia"/>
        </w:rPr>
        <w:t>有挪威</w:t>
      </w:r>
      <w:r>
        <w:rPr>
          <w:rFonts w:hint="eastAsia"/>
        </w:rPr>
        <w:t>SINTEF</w:t>
      </w:r>
      <w:r>
        <w:rPr>
          <w:rFonts w:hint="eastAsia"/>
        </w:rPr>
        <w:t>和德国</w:t>
      </w:r>
      <w:r>
        <w:rPr>
          <w:rFonts w:hint="eastAsia"/>
        </w:rPr>
        <w:t>Stuttgart</w:t>
      </w:r>
      <w:r>
        <w:rPr>
          <w:rFonts w:hint="eastAsia"/>
        </w:rPr>
        <w:t>大学、</w:t>
      </w:r>
      <w:r>
        <w:rPr>
          <w:rFonts w:hint="eastAsia"/>
        </w:rPr>
        <w:t>Bergen</w:t>
      </w:r>
      <w:r>
        <w:rPr>
          <w:rFonts w:hint="eastAsia"/>
        </w:rPr>
        <w:t>大学共同开发。</w:t>
      </w:r>
    </w:p>
    <w:p w14:paraId="11D31884" w14:textId="77777777" w:rsidR="004E3113" w:rsidRPr="00095366" w:rsidRDefault="004E3113" w:rsidP="004E3113">
      <w:pPr>
        <w:ind w:firstLine="480"/>
      </w:pPr>
      <w:r>
        <w:rPr>
          <w:rFonts w:hint="eastAsia"/>
        </w:rPr>
        <w:t>OPM</w:t>
      </w:r>
      <w:r>
        <w:rPr>
          <w:rFonts w:hint="eastAsia"/>
        </w:rPr>
        <w:t>使用和构建现有的框架和库，如</w:t>
      </w:r>
      <w:r>
        <w:rPr>
          <w:rFonts w:hint="eastAsia"/>
        </w:rPr>
        <w:t xml:space="preserve">DUNE, </w:t>
      </w:r>
      <w:proofErr w:type="spellStart"/>
      <w:r>
        <w:rPr>
          <w:rFonts w:hint="eastAsia"/>
        </w:rPr>
        <w:t>DuMuX</w:t>
      </w:r>
      <w:proofErr w:type="spellEnd"/>
      <w:r>
        <w:rPr>
          <w:rFonts w:hint="eastAsia"/>
        </w:rPr>
        <w:t>, Zoltan, Boost</w:t>
      </w:r>
      <w:r>
        <w:rPr>
          <w:rFonts w:hint="eastAsia"/>
        </w:rPr>
        <w:t>，降低实施和维护成本，改善软件质量。</w:t>
      </w:r>
      <w:r>
        <w:rPr>
          <w:rFonts w:hint="eastAsia"/>
        </w:rPr>
        <w:t>MRST</w:t>
      </w:r>
      <w:r>
        <w:rPr>
          <w:rFonts w:hint="eastAsia"/>
        </w:rPr>
        <w:t>的目的也是如此。</w:t>
      </w:r>
    </w:p>
    <w:p w14:paraId="6A60287D" w14:textId="77777777" w:rsidR="004E3113" w:rsidRDefault="004E3113" w:rsidP="004E3113">
      <w:pPr>
        <w:ind w:firstLine="480"/>
      </w:pPr>
      <w:r>
        <w:rPr>
          <w:rFonts w:hint="eastAsia"/>
        </w:rPr>
        <w:t>OPM Flow</w:t>
      </w:r>
      <w:r>
        <w:rPr>
          <w:rFonts w:hint="eastAsia"/>
        </w:rPr>
        <w:t>开发的目的有</w:t>
      </w:r>
      <w:r>
        <w:rPr>
          <w:rFonts w:hint="eastAsia"/>
        </w:rPr>
        <w:t>2</w:t>
      </w:r>
      <w:r>
        <w:rPr>
          <w:rFonts w:hint="eastAsia"/>
        </w:rPr>
        <w:t>个：（</w:t>
      </w:r>
      <w:r>
        <w:rPr>
          <w:rFonts w:hint="eastAsia"/>
        </w:rPr>
        <w:t>1</w:t>
      </w:r>
      <w:r>
        <w:rPr>
          <w:rFonts w:hint="eastAsia"/>
        </w:rPr>
        <w:t>）作为开源模型，选择替代现有的商业模型，辅助石油公司的规划、设计与管理，如碳水化合物；（</w:t>
      </w:r>
      <w:r>
        <w:rPr>
          <w:rFonts w:hint="eastAsia"/>
        </w:rPr>
        <w:t>2</w:t>
      </w:r>
      <w:r>
        <w:rPr>
          <w:rFonts w:hint="eastAsia"/>
        </w:rPr>
        <w:t>）实际应用用户实施、测试和验证新模型、新计算方法的研究平台。</w:t>
      </w:r>
    </w:p>
    <w:p w14:paraId="05FE2785" w14:textId="77777777" w:rsidR="004E3113" w:rsidRDefault="004E3113" w:rsidP="004E3113">
      <w:pPr>
        <w:ind w:firstLine="480"/>
      </w:pPr>
      <w:r>
        <w:rPr>
          <w:rFonts w:hint="eastAsia"/>
        </w:rPr>
        <w:t>OPM Flow</w:t>
      </w:r>
      <w:r>
        <w:rPr>
          <w:rFonts w:hint="eastAsia"/>
        </w:rPr>
        <w:t>目标是描述油藏地质、流体特性和描述井和产油设施，提供全隐格式离散</w:t>
      </w:r>
      <w:r>
        <w:rPr>
          <w:rFonts w:hint="eastAsia"/>
        </w:rPr>
        <w:t>black-oil</w:t>
      </w:r>
      <w:r>
        <w:rPr>
          <w:rFonts w:hint="eastAsia"/>
        </w:rPr>
        <w:t>类型模型，支持工业标准的输入和输出格式。模拟器使用自动差商</w:t>
      </w:r>
      <w:r>
        <w:rPr>
          <w:rFonts w:hint="eastAsia"/>
        </w:rPr>
        <w:t>(AD)</w:t>
      </w:r>
      <w:r>
        <w:rPr>
          <w:rFonts w:hint="eastAsia"/>
        </w:rPr>
        <w:t>，避免编码错误，更容易拓展模拟器使用新方程，如</w:t>
      </w:r>
      <w:r>
        <w:rPr>
          <w:rFonts w:hint="eastAsia"/>
        </w:rPr>
        <w:t>CO2</w:t>
      </w:r>
      <w:r>
        <w:rPr>
          <w:rFonts w:hint="eastAsia"/>
        </w:rPr>
        <w:t>注入和</w:t>
      </w:r>
      <w:r>
        <w:rPr>
          <w:rFonts w:hint="eastAsia"/>
        </w:rPr>
        <w:t>enhanced oil recovery (EOR)</w:t>
      </w:r>
      <w:r>
        <w:rPr>
          <w:rFonts w:hint="eastAsia"/>
        </w:rPr>
        <w:t>。</w:t>
      </w:r>
    </w:p>
    <w:p w14:paraId="023EC035" w14:textId="77777777" w:rsidR="004E3113" w:rsidRDefault="004E3113" w:rsidP="004E3113">
      <w:pPr>
        <w:ind w:firstLine="480"/>
      </w:pPr>
      <w:r>
        <w:rPr>
          <w:rFonts w:hint="eastAsia"/>
        </w:rPr>
        <w:t>OPM flow</w:t>
      </w:r>
      <w:r>
        <w:rPr>
          <w:rFonts w:hint="eastAsia"/>
        </w:rPr>
        <w:t>的安装和运行见：</w:t>
      </w:r>
      <w:r w:rsidRPr="00D4053F">
        <w:t>opm-project.org</w:t>
      </w:r>
      <w:r>
        <w:rPr>
          <w:rFonts w:hint="eastAsia"/>
        </w:rPr>
        <w:t>，及其手册。</w:t>
      </w:r>
    </w:p>
    <w:p w14:paraId="3C606F25" w14:textId="77777777" w:rsidR="004E3113" w:rsidRPr="00D4053F" w:rsidRDefault="004E3113" w:rsidP="004E3113">
      <w:pPr>
        <w:ind w:firstLine="480"/>
      </w:pPr>
    </w:p>
    <w:p w14:paraId="5A94B9A1" w14:textId="77777777" w:rsidR="004E3113" w:rsidRDefault="004E3113" w:rsidP="004E3113">
      <w:pPr>
        <w:ind w:firstLine="480"/>
      </w:pPr>
      <w:r>
        <w:rPr>
          <w:rFonts w:hint="eastAsia"/>
          <w:noProof/>
        </w:rPr>
        <w:drawing>
          <wp:inline distT="0" distB="0" distL="0" distR="0" wp14:anchorId="1A51AE3D" wp14:editId="4A960CA9">
            <wp:extent cx="4968586" cy="1773232"/>
            <wp:effectExtent l="19050" t="0" r="3464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58" cy="177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24882" w14:textId="77777777" w:rsidR="004E3113" w:rsidRDefault="004E3113" w:rsidP="004E3113">
      <w:pPr>
        <w:ind w:firstLine="480"/>
        <w:jc w:val="center"/>
      </w:pPr>
      <w:proofErr w:type="spellStart"/>
      <w:r>
        <w:rPr>
          <w:rFonts w:hint="eastAsia"/>
        </w:rPr>
        <w:t>Norne</w:t>
      </w:r>
      <w:proofErr w:type="spellEnd"/>
      <w:r>
        <w:rPr>
          <w:rFonts w:hint="eastAsia"/>
        </w:rPr>
        <w:t xml:space="preserve"> reservoir</w:t>
      </w:r>
      <w:r>
        <w:rPr>
          <w:rFonts w:hint="eastAsia"/>
        </w:rPr>
        <w:t>显示石油饱和度和井（</w:t>
      </w:r>
      <w:r>
        <w:rPr>
          <w:rFonts w:hint="eastAsia"/>
        </w:rPr>
        <w:t>3.5</w:t>
      </w:r>
      <w:r>
        <w:rPr>
          <w:rFonts w:hint="eastAsia"/>
        </w:rPr>
        <w:t>年产油后）：</w:t>
      </w:r>
      <w:r>
        <w:rPr>
          <w:rFonts w:hint="eastAsia"/>
        </w:rPr>
        <w:t>Z</w:t>
      </w:r>
      <w:r>
        <w:rPr>
          <w:rFonts w:hint="eastAsia"/>
        </w:rPr>
        <w:t>方向放大</w:t>
      </w:r>
      <w:r>
        <w:rPr>
          <w:rFonts w:hint="eastAsia"/>
        </w:rPr>
        <w:t>5</w:t>
      </w:r>
      <w:r>
        <w:rPr>
          <w:rFonts w:hint="eastAsia"/>
        </w:rPr>
        <w:t>倍</w:t>
      </w:r>
    </w:p>
    <w:p w14:paraId="6AC44FBB" w14:textId="77777777" w:rsidR="004E3113" w:rsidRDefault="004E3113" w:rsidP="004E3113">
      <w:pPr>
        <w:ind w:firstLine="480"/>
      </w:pPr>
    </w:p>
    <w:p w14:paraId="0833B518" w14:textId="77777777" w:rsidR="004E3113" w:rsidRDefault="004E3113" w:rsidP="004E3113">
      <w:pPr>
        <w:ind w:firstLine="480"/>
      </w:pPr>
      <w:r>
        <w:rPr>
          <w:rFonts w:hint="eastAsia"/>
        </w:rPr>
        <w:t>OPM</w:t>
      </w:r>
      <w:r>
        <w:rPr>
          <w:rFonts w:hint="eastAsia"/>
        </w:rPr>
        <w:t>包含</w:t>
      </w:r>
      <w:proofErr w:type="spellStart"/>
      <w:r>
        <w:rPr>
          <w:rFonts w:hint="eastAsia"/>
        </w:rPr>
        <w:t>ReInsight</w:t>
      </w:r>
      <w:proofErr w:type="spellEnd"/>
      <w:r>
        <w:rPr>
          <w:rFonts w:hint="eastAsia"/>
        </w:rPr>
        <w:t>后处理程序，用于所有的</w:t>
      </w:r>
      <w:r>
        <w:rPr>
          <w:rFonts w:hint="eastAsia"/>
        </w:rPr>
        <w:t>3D</w:t>
      </w:r>
      <w:r>
        <w:rPr>
          <w:rFonts w:hint="eastAsia"/>
        </w:rPr>
        <w:t>可视化。独立于</w:t>
      </w:r>
      <w:r>
        <w:rPr>
          <w:rFonts w:hint="eastAsia"/>
        </w:rPr>
        <w:t>OPM</w:t>
      </w:r>
      <w:r>
        <w:rPr>
          <w:rFonts w:hint="eastAsia"/>
        </w:rPr>
        <w:t>其他模块。</w:t>
      </w:r>
    </w:p>
    <w:p w14:paraId="42B70C72" w14:textId="77777777" w:rsidR="004E3113" w:rsidRDefault="004E3113" w:rsidP="004E3113">
      <w:pPr>
        <w:ind w:firstLine="480"/>
      </w:pPr>
      <w:r>
        <w:rPr>
          <w:rFonts w:hint="eastAsia"/>
        </w:rPr>
        <w:t>输入与输出文件格式：</w:t>
      </w:r>
      <w:r w:rsidRPr="00AC4D88">
        <w:t>Eclipse</w:t>
      </w:r>
    </w:p>
    <w:p w14:paraId="03654A22" w14:textId="77777777" w:rsidR="004E3113" w:rsidRDefault="004E3113" w:rsidP="004E3113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709991" wp14:editId="6FC03846">
            <wp:extent cx="4558236" cy="1911784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45" cy="191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9B039" w14:textId="77777777" w:rsidR="004E3113" w:rsidRDefault="004E3113" w:rsidP="004E3113">
      <w:pPr>
        <w:ind w:firstLine="480"/>
        <w:jc w:val="center"/>
      </w:pPr>
      <w:proofErr w:type="spellStart"/>
      <w:r>
        <w:rPr>
          <w:rFonts w:hint="eastAsia"/>
        </w:rPr>
        <w:t>Norne</w:t>
      </w:r>
      <w:proofErr w:type="spellEnd"/>
      <w:r>
        <w:rPr>
          <w:rFonts w:hint="eastAsia"/>
        </w:rPr>
        <w:t>油田的网格以及流体的初始分布。红色的是</w:t>
      </w:r>
      <w:r>
        <w:rPr>
          <w:rFonts w:hint="eastAsia"/>
        </w:rPr>
        <w:t>gas</w:t>
      </w:r>
      <w:r>
        <w:rPr>
          <w:rFonts w:hint="eastAsia"/>
        </w:rPr>
        <w:t>，蓝色的是</w:t>
      </w:r>
      <w:r>
        <w:rPr>
          <w:rFonts w:hint="eastAsia"/>
        </w:rPr>
        <w:t>oil</w:t>
      </w:r>
    </w:p>
    <w:p w14:paraId="3D4A6B8D" w14:textId="77777777" w:rsidR="004E3113" w:rsidRDefault="004E3113" w:rsidP="004E311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C3BC526" wp14:editId="5C07160C">
            <wp:extent cx="4404955" cy="2974973"/>
            <wp:effectExtent l="1905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70" cy="297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CC8D3" w14:textId="77777777" w:rsidR="004E3113" w:rsidRDefault="004E3113" w:rsidP="004E3113">
      <w:pPr>
        <w:ind w:firstLine="480"/>
        <w:jc w:val="center"/>
      </w:pPr>
      <w:proofErr w:type="spellStart"/>
      <w:r>
        <w:rPr>
          <w:rFonts w:hint="eastAsia"/>
        </w:rPr>
        <w:t>Norne</w:t>
      </w:r>
      <w:proofErr w:type="spellEnd"/>
      <w:r>
        <w:rPr>
          <w:rFonts w:hint="eastAsia"/>
        </w:rPr>
        <w:t>油田的</w:t>
      </w:r>
      <w:r>
        <w:rPr>
          <w:rFonts w:hint="eastAsia"/>
        </w:rPr>
        <w:t>injector and producer</w:t>
      </w:r>
      <w:r>
        <w:rPr>
          <w:rFonts w:hint="eastAsia"/>
        </w:rPr>
        <w:t>井的验证</w:t>
      </w:r>
    </w:p>
    <w:p w14:paraId="6481473A" w14:textId="77777777" w:rsidR="004E3113" w:rsidRDefault="004E3113" w:rsidP="004E3113">
      <w:pPr>
        <w:ind w:firstLine="480"/>
      </w:pPr>
      <w:r>
        <w:rPr>
          <w:rFonts w:hint="eastAsia"/>
        </w:rPr>
        <w:t>注射</w:t>
      </w:r>
      <w:r>
        <w:rPr>
          <w:rFonts w:hint="eastAsia"/>
        </w:rPr>
        <w:t>polymer</w:t>
      </w:r>
      <w:r>
        <w:rPr>
          <w:rFonts w:hint="eastAsia"/>
        </w:rPr>
        <w:t>提高</w:t>
      </w:r>
      <w:r>
        <w:rPr>
          <w:rFonts w:hint="eastAsia"/>
        </w:rPr>
        <w:t>oil recovery</w:t>
      </w:r>
    </w:p>
    <w:p w14:paraId="4E967095" w14:textId="77777777" w:rsidR="004E3113" w:rsidRDefault="004E3113" w:rsidP="004E3113">
      <w:pPr>
        <w:ind w:firstLine="480"/>
      </w:pPr>
      <w:r>
        <w:rPr>
          <w:rFonts w:hint="eastAsia"/>
          <w:noProof/>
        </w:rPr>
        <w:drawing>
          <wp:inline distT="0" distB="0" distL="0" distR="0" wp14:anchorId="16E5C2FF" wp14:editId="0776750D">
            <wp:extent cx="4584885" cy="1696661"/>
            <wp:effectExtent l="19050" t="0" r="616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17" cy="169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9EF46" w14:textId="77777777" w:rsidR="004E3113" w:rsidRDefault="004E3113" w:rsidP="004E3113">
      <w:pPr>
        <w:ind w:firstLine="480"/>
        <w:jc w:val="center"/>
      </w:pPr>
      <w:r>
        <w:rPr>
          <w:rFonts w:hint="eastAsia"/>
        </w:rPr>
        <w:t>计算网格和</w:t>
      </w:r>
      <w:r>
        <w:rPr>
          <w:rFonts w:hint="eastAsia"/>
        </w:rPr>
        <w:t>polymer</w:t>
      </w:r>
      <w:r>
        <w:rPr>
          <w:rFonts w:hint="eastAsia"/>
        </w:rPr>
        <w:t>的水平渗透率</w:t>
      </w:r>
    </w:p>
    <w:p w14:paraId="06EF9028" w14:textId="77777777" w:rsidR="004E3113" w:rsidRDefault="004E3113" w:rsidP="004E3113">
      <w:pPr>
        <w:ind w:firstLine="480"/>
      </w:pPr>
    </w:p>
    <w:p w14:paraId="2F7A0E4C" w14:textId="77777777" w:rsidR="004E3113" w:rsidRDefault="004E3113" w:rsidP="004E3113">
      <w:pPr>
        <w:ind w:firstLine="480"/>
      </w:pPr>
    </w:p>
    <w:p w14:paraId="78834330" w14:textId="77777777" w:rsidR="004E3113" w:rsidRDefault="004E3113" w:rsidP="004E3113">
      <w:pPr>
        <w:pStyle w:val="31"/>
      </w:pPr>
      <w:r>
        <w:rPr>
          <w:rFonts w:hint="eastAsia"/>
        </w:rPr>
        <w:lastRenderedPageBreak/>
        <w:t>Flow</w:t>
      </w:r>
      <w:r>
        <w:rPr>
          <w:rFonts w:hint="eastAsia"/>
        </w:rPr>
        <w:t>模块</w:t>
      </w:r>
    </w:p>
    <w:p w14:paraId="5EB57083" w14:textId="77777777" w:rsidR="004E3113" w:rsidRPr="000D5CDA" w:rsidRDefault="004E3113" w:rsidP="004E3113">
      <w:pPr>
        <w:ind w:firstLine="480"/>
        <w:rPr>
          <w:kern w:val="0"/>
        </w:rPr>
      </w:pPr>
      <w:r w:rsidRPr="000D5CDA">
        <w:rPr>
          <w:kern w:val="0"/>
        </w:rPr>
        <w:t>OPM Flow is a fully-implicit, black-oil simulator capable of running industry-standard simulation models. The simulator is implemented using automatic differentiation to enable rapid development of new fluid models.</w:t>
      </w:r>
    </w:p>
    <w:p w14:paraId="71AA36F7" w14:textId="77777777" w:rsidR="004E3113" w:rsidRDefault="004E3113" w:rsidP="004E3113">
      <w:pPr>
        <w:ind w:firstLine="480"/>
        <w:jc w:val="center"/>
        <w:rPr>
          <w:kern w:val="0"/>
        </w:rPr>
      </w:pPr>
      <w:r>
        <w:rPr>
          <w:rFonts w:hint="eastAsia"/>
          <w:noProof/>
          <w:kern w:val="0"/>
          <w:bdr w:val="none" w:sz="0" w:space="0" w:color="auto" w:frame="1"/>
        </w:rPr>
        <w:drawing>
          <wp:inline distT="0" distB="0" distL="0" distR="0" wp14:anchorId="667520FA" wp14:editId="367F0BEF">
            <wp:extent cx="3187287" cy="2613503"/>
            <wp:effectExtent l="19050" t="0" r="0" b="0"/>
            <wp:docPr id="7" name="图片 7" descr="Validation of Flow for the Norne Field. The 3D plot shows saturation distribution visualized in ResInsight. The line plots show bottom-hole pressures and oil-production rates as computed by Flow (blue lines) and Eclipse 100 (red lines).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alidation of Flow for the Norne Field. The 3D plot shows saturation distribution visualized in ResInsight. The line plots show bottom-hole pressures and oil-production rates as computed by Flow (blue lines) and Eclipse 100 (red lines).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24" cy="261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B98B8" w14:textId="77777777" w:rsidR="004E3113" w:rsidRDefault="004E3113" w:rsidP="004E3113">
      <w:pPr>
        <w:ind w:firstLine="480"/>
        <w:jc w:val="center"/>
      </w:pPr>
      <w:r w:rsidRPr="000D5CDA">
        <w:rPr>
          <w:kern w:val="0"/>
        </w:rPr>
        <w:t xml:space="preserve">Validation of Flow for the </w:t>
      </w:r>
      <w:proofErr w:type="spellStart"/>
      <w:r w:rsidRPr="000D5CDA">
        <w:rPr>
          <w:kern w:val="0"/>
        </w:rPr>
        <w:t>Norne</w:t>
      </w:r>
      <w:proofErr w:type="spellEnd"/>
      <w:r w:rsidRPr="000D5CDA">
        <w:rPr>
          <w:kern w:val="0"/>
        </w:rPr>
        <w:t xml:space="preserve"> Field. The 3D plot shows saturation distribution visualized in </w:t>
      </w:r>
      <w:proofErr w:type="spellStart"/>
      <w:r w:rsidRPr="000D5CDA">
        <w:rPr>
          <w:kern w:val="0"/>
        </w:rPr>
        <w:t>ResInsight</w:t>
      </w:r>
      <w:proofErr w:type="spellEnd"/>
      <w:r w:rsidRPr="000D5CDA">
        <w:rPr>
          <w:kern w:val="0"/>
        </w:rPr>
        <w:t>. The line plots show bottom-hole pressures and oil-pro</w:t>
      </w:r>
      <w:r>
        <w:rPr>
          <w:rFonts w:hint="eastAsia"/>
          <w:kern w:val="0"/>
        </w:rPr>
        <w:t>duction</w:t>
      </w:r>
    </w:p>
    <w:p w14:paraId="19EE8F68" w14:textId="77777777" w:rsidR="004E3113" w:rsidRPr="000D5CDA" w:rsidRDefault="004E3113" w:rsidP="004E3113">
      <w:pPr>
        <w:widowControl/>
        <w:spacing w:line="240" w:lineRule="auto"/>
        <w:ind w:firstLineChars="0" w:firstLine="30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b/>
          <w:bCs/>
          <w:color w:val="2B2B2B"/>
          <w:kern w:val="0"/>
          <w:sz w:val="15"/>
        </w:rPr>
        <w:t>Model formulation:</w:t>
      </w:r>
    </w:p>
    <w:p w14:paraId="700043F9" w14:textId="77777777" w:rsidR="004E3113" w:rsidRPr="000D5CDA" w:rsidRDefault="004E3113" w:rsidP="004E3113">
      <w:pPr>
        <w:widowControl/>
        <w:numPr>
          <w:ilvl w:val="0"/>
          <w:numId w:val="1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black-oil with dissolved gas and vaporized oil</w:t>
      </w:r>
    </w:p>
    <w:p w14:paraId="553C9454" w14:textId="77777777" w:rsidR="004E3113" w:rsidRPr="000D5CDA" w:rsidRDefault="004E3113" w:rsidP="004E3113">
      <w:pPr>
        <w:widowControl/>
        <w:numPr>
          <w:ilvl w:val="0"/>
          <w:numId w:val="1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rock-dependent capillary and relative-permeability curves</w:t>
      </w:r>
    </w:p>
    <w:p w14:paraId="10133183" w14:textId="77777777" w:rsidR="004E3113" w:rsidRPr="000D5CDA" w:rsidRDefault="004E3113" w:rsidP="004E3113">
      <w:pPr>
        <w:widowControl/>
        <w:numPr>
          <w:ilvl w:val="0"/>
          <w:numId w:val="1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end-point scaling and hysteresis</w:t>
      </w:r>
    </w:p>
    <w:p w14:paraId="4B5F1DA5" w14:textId="77777777" w:rsidR="004E3113" w:rsidRPr="000D5CDA" w:rsidRDefault="004E3113" w:rsidP="004E3113">
      <w:pPr>
        <w:widowControl/>
        <w:numPr>
          <w:ilvl w:val="0"/>
          <w:numId w:val="1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oil vaporization controls (VAPPARS)</w:t>
      </w:r>
    </w:p>
    <w:p w14:paraId="1B011F7B" w14:textId="77777777" w:rsidR="004E3113" w:rsidRPr="000D5CDA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b/>
          <w:bCs/>
          <w:color w:val="2B2B2B"/>
          <w:kern w:val="0"/>
          <w:sz w:val="15"/>
        </w:rPr>
        <w:t>EOR options:</w:t>
      </w:r>
    </w:p>
    <w:p w14:paraId="152171AD" w14:textId="77777777" w:rsidR="004E3113" w:rsidRPr="000D5CDA" w:rsidRDefault="004E3113" w:rsidP="004E3113">
      <w:pPr>
        <w:widowControl/>
        <w:numPr>
          <w:ilvl w:val="0"/>
          <w:numId w:val="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Todd-Longstaff type polymer model with adsorption, dead-pore space, permeability reduction, and shear effects (</w:t>
      </w:r>
      <w:hyperlink r:id="rId18" w:history="1">
        <w:r w:rsidRPr="000D5CDA">
          <w:rPr>
            <w:rFonts w:ascii="inherit" w:eastAsia="宋体" w:hAnsi="inherit" w:cs="Arial"/>
            <w:color w:val="24890D"/>
            <w:kern w:val="0"/>
            <w:sz w:val="15"/>
            <w:u w:val="single"/>
          </w:rPr>
          <w:t>Flow-polymer</w:t>
        </w:r>
      </w:hyperlink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)</w:t>
      </w:r>
    </w:p>
    <w:p w14:paraId="3F12B1F8" w14:textId="77777777" w:rsidR="004E3113" w:rsidRPr="000D5CDA" w:rsidRDefault="004E3113" w:rsidP="004E3113">
      <w:pPr>
        <w:widowControl/>
        <w:numPr>
          <w:ilvl w:val="0"/>
          <w:numId w:val="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extra component equation(s), such as a solvent model (</w:t>
      </w:r>
      <w:hyperlink r:id="rId19" w:history="1">
        <w:r w:rsidRPr="000D5CDA">
          <w:rPr>
            <w:rFonts w:ascii="inherit" w:eastAsia="宋体" w:hAnsi="inherit" w:cs="Arial"/>
            <w:color w:val="24890D"/>
            <w:kern w:val="0"/>
            <w:sz w:val="15"/>
            <w:u w:val="single"/>
          </w:rPr>
          <w:t>Flow-solvent</w:t>
        </w:r>
      </w:hyperlink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)</w:t>
      </w:r>
    </w:p>
    <w:p w14:paraId="4B4252CE" w14:textId="77777777" w:rsidR="004E3113" w:rsidRPr="000D5CDA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b/>
          <w:bCs/>
          <w:color w:val="2B2B2B"/>
          <w:kern w:val="0"/>
          <w:sz w:val="15"/>
        </w:rPr>
        <w:t>Description of geology:</w:t>
      </w:r>
    </w:p>
    <w:p w14:paraId="4A6F8F43" w14:textId="77777777" w:rsidR="004E3113" w:rsidRPr="000D5CDA" w:rsidRDefault="004E3113" w:rsidP="004E3113">
      <w:pPr>
        <w:widowControl/>
        <w:numPr>
          <w:ilvl w:val="0"/>
          <w:numId w:val="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rectilinear and fully-unstructured grid</w:t>
      </w:r>
    </w:p>
    <w:p w14:paraId="34D7E2CB" w14:textId="77777777" w:rsidR="004E3113" w:rsidRPr="000D5CDA" w:rsidRDefault="004E3113" w:rsidP="004E3113">
      <w:pPr>
        <w:widowControl/>
        <w:numPr>
          <w:ilvl w:val="0"/>
          <w:numId w:val="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 xml:space="preserve">corner-point grids from Eclipse input, including fault and region multipliers, </w:t>
      </w:r>
      <w:proofErr w:type="spellStart"/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minpv</w:t>
      </w:r>
      <w:proofErr w:type="spellEnd"/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 xml:space="preserve">/pinch, </w:t>
      </w:r>
      <w:proofErr w:type="spellStart"/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etc</w:t>
      </w:r>
      <w:proofErr w:type="spellEnd"/>
    </w:p>
    <w:p w14:paraId="59245D56" w14:textId="77777777" w:rsidR="004E3113" w:rsidRPr="000D5CDA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b/>
          <w:bCs/>
          <w:color w:val="2B2B2B"/>
          <w:kern w:val="0"/>
          <w:sz w:val="15"/>
        </w:rPr>
        <w:t>Wells and controls:</w:t>
      </w:r>
    </w:p>
    <w:p w14:paraId="631D930B" w14:textId="77777777" w:rsidR="004E3113" w:rsidRPr="000D5CDA" w:rsidRDefault="004E3113" w:rsidP="004E3113">
      <w:pPr>
        <w:widowControl/>
        <w:numPr>
          <w:ilvl w:val="0"/>
          <w:numId w:val="4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bottom-hole pressure and surface/reservoir rate</w:t>
      </w:r>
    </w:p>
    <w:p w14:paraId="009EEEEE" w14:textId="77777777" w:rsidR="004E3113" w:rsidRPr="000D5CDA" w:rsidRDefault="004E3113" w:rsidP="004E3113">
      <w:pPr>
        <w:widowControl/>
        <w:numPr>
          <w:ilvl w:val="0"/>
          <w:numId w:val="4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group controls</w:t>
      </w:r>
    </w:p>
    <w:p w14:paraId="6C40E372" w14:textId="77777777" w:rsidR="004E3113" w:rsidRPr="000D5CDA" w:rsidRDefault="004E3113" w:rsidP="004E3113">
      <w:pPr>
        <w:widowControl/>
        <w:numPr>
          <w:ilvl w:val="0"/>
          <w:numId w:val="4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shut/stop/open individual completions</w:t>
      </w:r>
    </w:p>
    <w:p w14:paraId="10627518" w14:textId="77777777" w:rsidR="004E3113" w:rsidRPr="000D5CDA" w:rsidRDefault="004E3113" w:rsidP="004E3113">
      <w:pPr>
        <w:widowControl/>
        <w:numPr>
          <w:ilvl w:val="0"/>
          <w:numId w:val="4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history-matching wells</w:t>
      </w:r>
    </w:p>
    <w:p w14:paraId="2C32CF4B" w14:textId="77777777" w:rsidR="004E3113" w:rsidRPr="000D5CDA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b/>
          <w:bCs/>
          <w:color w:val="2B2B2B"/>
          <w:kern w:val="0"/>
          <w:sz w:val="15"/>
        </w:rPr>
        <w:t>Input/output:</w:t>
      </w:r>
    </w:p>
    <w:p w14:paraId="34474537" w14:textId="77777777" w:rsidR="004E3113" w:rsidRPr="000D5CDA" w:rsidRDefault="004E3113" w:rsidP="004E3113">
      <w:pPr>
        <w:widowControl/>
        <w:numPr>
          <w:ilvl w:val="0"/>
          <w:numId w:val="5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general reader/parser for Eclipse input decks</w:t>
      </w:r>
    </w:p>
    <w:p w14:paraId="2D372812" w14:textId="77777777" w:rsidR="004E3113" w:rsidRPr="000D5CDA" w:rsidRDefault="004E3113" w:rsidP="004E3113">
      <w:pPr>
        <w:widowControl/>
        <w:numPr>
          <w:ilvl w:val="0"/>
          <w:numId w:val="5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XML-based or simple text-format input of additional parameters</w:t>
      </w:r>
    </w:p>
    <w:p w14:paraId="38091341" w14:textId="77777777" w:rsidR="004E3113" w:rsidRPr="000D5CDA" w:rsidRDefault="004E3113" w:rsidP="004E3113">
      <w:pPr>
        <w:widowControl/>
        <w:numPr>
          <w:ilvl w:val="0"/>
          <w:numId w:val="5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flexible output of summary and restart files in Eclipse format</w:t>
      </w:r>
    </w:p>
    <w:p w14:paraId="4F3480D9" w14:textId="77777777" w:rsidR="004E3113" w:rsidRPr="000D5CDA" w:rsidRDefault="004E3113" w:rsidP="004E3113">
      <w:pPr>
        <w:widowControl/>
        <w:numPr>
          <w:ilvl w:val="0"/>
          <w:numId w:val="5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lastRenderedPageBreak/>
        <w:t>logging to terminal and print file</w:t>
      </w:r>
    </w:p>
    <w:p w14:paraId="2C3FF5AD" w14:textId="77777777" w:rsidR="004E3113" w:rsidRPr="000D5CDA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b/>
          <w:bCs/>
          <w:color w:val="2B2B2B"/>
          <w:kern w:val="0"/>
          <w:sz w:val="15"/>
        </w:rPr>
        <w:t>Simulation technology:</w:t>
      </w:r>
    </w:p>
    <w:p w14:paraId="2CC0B674" w14:textId="77777777" w:rsidR="004E3113" w:rsidRPr="000D5CDA" w:rsidRDefault="004E3113" w:rsidP="004E3113">
      <w:pPr>
        <w:widowControl/>
        <w:numPr>
          <w:ilvl w:val="0"/>
          <w:numId w:val="6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fully-implicit in time</w:t>
      </w:r>
    </w:p>
    <w:p w14:paraId="78245A5A" w14:textId="77777777" w:rsidR="004E3113" w:rsidRPr="000D5CDA" w:rsidRDefault="004E3113" w:rsidP="004E3113">
      <w:pPr>
        <w:widowControl/>
        <w:numPr>
          <w:ilvl w:val="0"/>
          <w:numId w:val="6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 xml:space="preserve">two-point flux approximation in space </w:t>
      </w:r>
      <w:proofErr w:type="gramStart"/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with  upstream</w:t>
      </w:r>
      <w:proofErr w:type="gramEnd"/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-mobility weighting</w:t>
      </w:r>
    </w:p>
    <w:p w14:paraId="25AB2336" w14:textId="77777777" w:rsidR="004E3113" w:rsidRPr="000D5CDA" w:rsidRDefault="004E3113" w:rsidP="004E3113">
      <w:pPr>
        <w:widowControl/>
        <w:numPr>
          <w:ilvl w:val="0"/>
          <w:numId w:val="6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flexible assembly through the use of automatic differentiation</w:t>
      </w:r>
    </w:p>
    <w:p w14:paraId="3172937A" w14:textId="77777777" w:rsidR="004E3113" w:rsidRPr="000D5CDA" w:rsidRDefault="004E3113" w:rsidP="004E3113">
      <w:pPr>
        <w:widowControl/>
        <w:numPr>
          <w:ilvl w:val="0"/>
          <w:numId w:val="6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block-structured linear solver with ILU0 preconditioner</w:t>
      </w:r>
    </w:p>
    <w:p w14:paraId="13908664" w14:textId="77777777" w:rsidR="004E3113" w:rsidRPr="000D5CDA" w:rsidRDefault="004E3113" w:rsidP="004E3113">
      <w:pPr>
        <w:widowControl/>
        <w:numPr>
          <w:ilvl w:val="0"/>
          <w:numId w:val="6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CPR preconditioner and multigrid solver</w:t>
      </w:r>
    </w:p>
    <w:p w14:paraId="2A80605A" w14:textId="77777777" w:rsidR="004E3113" w:rsidRPr="000D5CDA" w:rsidRDefault="004E3113" w:rsidP="004E3113">
      <w:pPr>
        <w:widowControl/>
        <w:numPr>
          <w:ilvl w:val="0"/>
          <w:numId w:val="6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>
        <w:rPr>
          <w:rFonts w:ascii="inherit" w:eastAsia="宋体" w:hAnsi="inherit" w:cs="Arial"/>
          <w:color w:val="2B2B2B"/>
          <w:kern w:val="0"/>
          <w:sz w:val="15"/>
          <w:szCs w:val="15"/>
        </w:rPr>
        <w:t>adaptive</w:t>
      </w:r>
      <w:r>
        <w:rPr>
          <w:rFonts w:ascii="inherit" w:eastAsia="宋体" w:hAnsi="inherit" w:cs="Arial" w:hint="eastAsia"/>
          <w:color w:val="2B2B2B"/>
          <w:kern w:val="0"/>
          <w:sz w:val="15"/>
          <w:szCs w:val="15"/>
        </w:rPr>
        <w:t xml:space="preserve"> </w:t>
      </w:r>
      <w:r w:rsidRPr="000D5CDA">
        <w:rPr>
          <w:rFonts w:ascii="inherit" w:eastAsia="宋体" w:hAnsi="inherit" w:cs="Arial"/>
          <w:color w:val="2B2B2B"/>
          <w:kern w:val="0"/>
          <w:sz w:val="15"/>
          <w:szCs w:val="15"/>
        </w:rPr>
        <w:t>step-size controls</w:t>
      </w:r>
    </w:p>
    <w:p w14:paraId="19FD351D" w14:textId="77777777" w:rsidR="004E3113" w:rsidRPr="005C52A4" w:rsidRDefault="004E3113" w:rsidP="004E3113">
      <w:pPr>
        <w:pStyle w:val="31"/>
        <w:rPr>
          <w:kern w:val="36"/>
        </w:rPr>
      </w:pPr>
      <w:r w:rsidRPr="005C52A4">
        <w:rPr>
          <w:kern w:val="36"/>
        </w:rPr>
        <w:t>UPSCALING</w:t>
      </w:r>
    </w:p>
    <w:p w14:paraId="21EB59E7" w14:textId="77777777" w:rsidR="004E3113" w:rsidRDefault="004E3113" w:rsidP="004E3113">
      <w:pPr>
        <w:ind w:firstLine="480"/>
      </w:pPr>
      <w:r>
        <w:rPr>
          <w:shd w:val="clear" w:color="auto" w:fill="FFFFFF"/>
        </w:rPr>
        <w:t>OPM Upscaling is a collection of tools for single-phase and steady-state upscaling of capillary pressure and relative permeability.</w:t>
      </w:r>
    </w:p>
    <w:p w14:paraId="5CE4A784" w14:textId="77777777" w:rsidR="004E3113" w:rsidRDefault="004E3113" w:rsidP="004E3113">
      <w:pPr>
        <w:ind w:firstLine="480"/>
      </w:pPr>
      <w:r>
        <w:rPr>
          <w:noProof/>
        </w:rPr>
        <w:drawing>
          <wp:inline distT="0" distB="0" distL="0" distR="0" wp14:anchorId="42F9A5FE" wp14:editId="7E61D6C3">
            <wp:extent cx="5274310" cy="1476427"/>
            <wp:effectExtent l="19050" t="0" r="2540" b="0"/>
            <wp:docPr id="16" name="图片 1" descr="C:\Users\Administrator\Desktop\OPM-Upsca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OPM-Upscal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B606C" w14:textId="77777777" w:rsidR="004E3113" w:rsidRDefault="004E3113" w:rsidP="004E3113">
      <w:pPr>
        <w:pStyle w:val="aa"/>
        <w:rPr>
          <w:shd w:val="clear" w:color="auto" w:fill="FFFFFF"/>
        </w:rPr>
      </w:pPr>
      <w:proofErr w:type="spellStart"/>
      <w:r>
        <w:rPr>
          <w:shd w:val="clear" w:color="auto" w:fill="FFFFFF"/>
        </w:rPr>
        <w:t>llustration</w:t>
      </w:r>
      <w:proofErr w:type="spellEnd"/>
      <w:r>
        <w:rPr>
          <w:shd w:val="clear" w:color="auto" w:fill="FFFFFF"/>
        </w:rPr>
        <w:t xml:space="preserve"> of upscaling. The left figure shows averaging of porosity within a model that contains two facies. The right figures </w:t>
      </w:r>
      <w:proofErr w:type="gramStart"/>
      <w:r>
        <w:rPr>
          <w:shd w:val="clear" w:color="auto" w:fill="FFFFFF"/>
        </w:rPr>
        <w:t>shows</w:t>
      </w:r>
      <w:proofErr w:type="gramEnd"/>
      <w:r>
        <w:rPr>
          <w:shd w:val="clear" w:color="auto" w:fill="FFFFFF"/>
        </w:rPr>
        <w:t xml:space="preserve"> steady-state upscaling of relative permeability for a bed model.</w:t>
      </w:r>
    </w:p>
    <w:p w14:paraId="28AEF789" w14:textId="77777777" w:rsidR="004E3113" w:rsidRDefault="004E3113" w:rsidP="004E3113">
      <w:pPr>
        <w:pStyle w:val="aa"/>
        <w:jc w:val="center"/>
      </w:pPr>
      <w:r>
        <w:rPr>
          <w:noProof/>
        </w:rPr>
        <w:drawing>
          <wp:inline distT="0" distB="0" distL="0" distR="0" wp14:anchorId="0A7900B6" wp14:editId="08293C07">
            <wp:extent cx="6376754" cy="1554480"/>
            <wp:effectExtent l="0" t="0" r="0" b="0"/>
            <wp:docPr id="21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77" cy="155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B169D" w14:textId="77777777" w:rsidR="004E3113" w:rsidRPr="00B663C4" w:rsidRDefault="004E3113" w:rsidP="004E3113">
      <w:pPr>
        <w:widowControl/>
        <w:spacing w:line="240" w:lineRule="auto"/>
        <w:ind w:firstLineChars="0" w:firstLine="30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3471B7">
        <w:rPr>
          <w:rFonts w:ascii="inherit" w:eastAsia="宋体" w:hAnsi="inherit" w:cs="Arial"/>
          <w:b/>
          <w:bCs/>
          <w:color w:val="2B2B2B"/>
          <w:kern w:val="0"/>
          <w:sz w:val="15"/>
        </w:rPr>
        <w:t>Single-phase upscaling</w:t>
      </w:r>
      <w:r w:rsidRPr="00B663C4">
        <w:rPr>
          <w:rFonts w:ascii="Arial" w:eastAsia="宋体" w:hAnsi="Arial" w:cs="Arial"/>
          <w:color w:val="2B2B2B"/>
          <w:kern w:val="0"/>
          <w:sz w:val="15"/>
          <w:szCs w:val="15"/>
          <w:highlight w:val="yellow"/>
        </w:rPr>
        <w:t>:</w:t>
      </w:r>
    </w:p>
    <w:p w14:paraId="507F68B0" w14:textId="77777777" w:rsidR="004E3113" w:rsidRPr="00B663C4" w:rsidRDefault="004E3113" w:rsidP="004E3113">
      <w:pPr>
        <w:widowControl/>
        <w:numPr>
          <w:ilvl w:val="0"/>
          <w:numId w:val="10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flow-based method that uses directional flow problems</w:t>
      </w:r>
    </w:p>
    <w:p w14:paraId="42E0181B" w14:textId="77777777" w:rsidR="004E3113" w:rsidRPr="00B663C4" w:rsidRDefault="004E3113" w:rsidP="004E3113">
      <w:pPr>
        <w:widowControl/>
        <w:numPr>
          <w:ilvl w:val="0"/>
          <w:numId w:val="10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fixed, linear, or periodic boundary conditions</w:t>
      </w:r>
    </w:p>
    <w:p w14:paraId="2A099A6D" w14:textId="77777777" w:rsidR="004E3113" w:rsidRPr="00B663C4" w:rsidRDefault="004E3113" w:rsidP="004E3113">
      <w:pPr>
        <w:widowControl/>
        <w:numPr>
          <w:ilvl w:val="0"/>
          <w:numId w:val="10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consistent spatial discretization (mimetic finite differences) reduces grid-orientation effects</w:t>
      </w:r>
    </w:p>
    <w:p w14:paraId="4D762089" w14:textId="77777777" w:rsidR="004E3113" w:rsidRPr="00B663C4" w:rsidRDefault="004E3113" w:rsidP="004E3113">
      <w:pPr>
        <w:widowControl/>
        <w:numPr>
          <w:ilvl w:val="0"/>
          <w:numId w:val="10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linear solver: algebraic multigrid</w:t>
      </w:r>
    </w:p>
    <w:p w14:paraId="47CB18E9" w14:textId="77777777" w:rsidR="004E3113" w:rsidRPr="00B663C4" w:rsidRDefault="004E3113" w:rsidP="004E3113">
      <w:pPr>
        <w:widowControl/>
        <w:numPr>
          <w:ilvl w:val="0"/>
          <w:numId w:val="10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produces symmetric tensor (with periodic boundary conditions)</w:t>
      </w:r>
    </w:p>
    <w:p w14:paraId="5587871F" w14:textId="77777777" w:rsidR="004E3113" w:rsidRPr="00B663C4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b/>
          <w:bCs/>
          <w:color w:val="2B2B2B"/>
          <w:kern w:val="0"/>
          <w:sz w:val="15"/>
        </w:rPr>
        <w:t>Elastic parameters</w:t>
      </w:r>
      <w:r w:rsidRPr="00B663C4">
        <w:rPr>
          <w:rFonts w:ascii="Arial" w:eastAsia="宋体" w:hAnsi="Arial" w:cs="Arial"/>
          <w:color w:val="2B2B2B"/>
          <w:kern w:val="0"/>
          <w:sz w:val="15"/>
          <w:szCs w:val="15"/>
        </w:rPr>
        <w:t>:</w:t>
      </w:r>
    </w:p>
    <w:p w14:paraId="4B57A05B" w14:textId="77777777" w:rsidR="004E3113" w:rsidRPr="00B663C4" w:rsidRDefault="004E3113" w:rsidP="004E3113">
      <w:pPr>
        <w:widowControl/>
        <w:numPr>
          <w:ilvl w:val="0"/>
          <w:numId w:val="11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Algebraic multigrid and overlapping Schwarz preconditioner</w:t>
      </w:r>
    </w:p>
    <w:p w14:paraId="7BAF92B4" w14:textId="77777777" w:rsidR="004E3113" w:rsidRPr="00B663C4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b/>
          <w:bCs/>
          <w:color w:val="2B2B2B"/>
          <w:kern w:val="0"/>
          <w:sz w:val="15"/>
        </w:rPr>
        <w:t>Relative permeability and capillary curves:</w:t>
      </w:r>
    </w:p>
    <w:p w14:paraId="199C06D1" w14:textId="77777777" w:rsidR="004E3113" w:rsidRPr="00B663C4" w:rsidRDefault="004E3113" w:rsidP="004E3113">
      <w:pPr>
        <w:widowControl/>
        <w:numPr>
          <w:ilvl w:val="0"/>
          <w:numId w:val="1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first: computes steady-state by solving two-phase, incompressible, immiscible flow with capillary and gravity forces</w:t>
      </w:r>
    </w:p>
    <w:p w14:paraId="11BE4A7C" w14:textId="77777777" w:rsidR="004E3113" w:rsidRPr="00B663C4" w:rsidRDefault="004E3113" w:rsidP="004E3113">
      <w:pPr>
        <w:widowControl/>
        <w:numPr>
          <w:ilvl w:val="0"/>
          <w:numId w:val="1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then: computes effective permeability for given phase mobilities</w:t>
      </w:r>
    </w:p>
    <w:p w14:paraId="4C3C2042" w14:textId="77777777" w:rsidR="004E3113" w:rsidRPr="00B663C4" w:rsidRDefault="004E3113" w:rsidP="004E3113">
      <w:pPr>
        <w:widowControl/>
        <w:numPr>
          <w:ilvl w:val="0"/>
          <w:numId w:val="1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proofErr w:type="gramStart"/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generally</w:t>
      </w:r>
      <w:proofErr w:type="gramEnd"/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 xml:space="preserve"> gives full tensor relative permeability</w:t>
      </w:r>
    </w:p>
    <w:p w14:paraId="39AE5A12" w14:textId="77777777" w:rsidR="004E3113" w:rsidRPr="00B663C4" w:rsidRDefault="004E3113" w:rsidP="004E3113">
      <w:pPr>
        <w:widowControl/>
        <w:numPr>
          <w:ilvl w:val="0"/>
          <w:numId w:val="1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same pressure solver as in single-phase upscaling (mimetic, AMG)</w:t>
      </w:r>
    </w:p>
    <w:p w14:paraId="70C23310" w14:textId="77777777" w:rsidR="004E3113" w:rsidRPr="00B663C4" w:rsidRDefault="004E3113" w:rsidP="004E3113">
      <w:pPr>
        <w:widowControl/>
        <w:numPr>
          <w:ilvl w:val="0"/>
          <w:numId w:val="12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transport solver: two-point, mobility-weighted upwind scheme, explicit or implicit temporal discretization</w:t>
      </w:r>
    </w:p>
    <w:p w14:paraId="652DD470" w14:textId="77777777" w:rsidR="004E3113" w:rsidRPr="00B663C4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b/>
          <w:bCs/>
          <w:color w:val="2B2B2B"/>
          <w:kern w:val="0"/>
          <w:sz w:val="15"/>
        </w:rPr>
        <w:lastRenderedPageBreak/>
        <w:t>Electrical resistivity/conductivity</w:t>
      </w:r>
      <w:r w:rsidRPr="00B663C4">
        <w:rPr>
          <w:rFonts w:ascii="Arial" w:eastAsia="宋体" w:hAnsi="Arial" w:cs="Arial"/>
          <w:color w:val="2B2B2B"/>
          <w:kern w:val="0"/>
          <w:sz w:val="15"/>
          <w:szCs w:val="15"/>
        </w:rPr>
        <w:t>:</w:t>
      </w:r>
    </w:p>
    <w:p w14:paraId="2A3BAE9F" w14:textId="77777777" w:rsidR="004E3113" w:rsidRPr="00B663C4" w:rsidRDefault="004E3113" w:rsidP="004E3113">
      <w:pPr>
        <w:widowControl/>
        <w:numPr>
          <w:ilvl w:val="0"/>
          <w:numId w:val="1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proofErr w:type="spellStart"/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Initialisation</w:t>
      </w:r>
      <w:proofErr w:type="spellEnd"/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 xml:space="preserve"> of saturations using capillary equilibrium</w:t>
      </w:r>
    </w:p>
    <w:p w14:paraId="4EA6CCBF" w14:textId="77777777" w:rsidR="004E3113" w:rsidRPr="00B663C4" w:rsidRDefault="004E3113" w:rsidP="004E3113">
      <w:pPr>
        <w:widowControl/>
        <w:numPr>
          <w:ilvl w:val="0"/>
          <w:numId w:val="1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Resistivity/conductivity properties is populated using Archie’s law</w:t>
      </w:r>
    </w:p>
    <w:p w14:paraId="7009A40F" w14:textId="77777777" w:rsidR="004E3113" w:rsidRPr="00B663C4" w:rsidRDefault="004E3113" w:rsidP="004E3113">
      <w:pPr>
        <w:widowControl/>
        <w:numPr>
          <w:ilvl w:val="0"/>
          <w:numId w:val="1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Resistivity/conductivity is homogenized using Ohm’s law</w:t>
      </w:r>
    </w:p>
    <w:p w14:paraId="3CE7CA23" w14:textId="77777777" w:rsidR="004E3113" w:rsidRPr="00B663C4" w:rsidRDefault="004E3113" w:rsidP="004E3113">
      <w:pPr>
        <w:widowControl/>
        <w:spacing w:line="240" w:lineRule="auto"/>
        <w:ind w:firstLineChars="0" w:firstLine="0"/>
        <w:jc w:val="left"/>
        <w:textAlignment w:val="baseline"/>
        <w:rPr>
          <w:rFonts w:ascii="Arial" w:eastAsia="宋体" w:hAnsi="Arial" w:cs="Arial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b/>
          <w:bCs/>
          <w:color w:val="2B2B2B"/>
          <w:kern w:val="0"/>
          <w:sz w:val="15"/>
        </w:rPr>
        <w:t>Upscaling utility</w:t>
      </w:r>
      <w:r w:rsidRPr="00B663C4">
        <w:rPr>
          <w:rFonts w:ascii="Arial" w:eastAsia="宋体" w:hAnsi="Arial" w:cs="Arial"/>
          <w:color w:val="2B2B2B"/>
          <w:kern w:val="0"/>
          <w:sz w:val="15"/>
          <w:szCs w:val="15"/>
        </w:rPr>
        <w:t> (cp-chop):</w:t>
      </w:r>
    </w:p>
    <w:p w14:paraId="23426FC4" w14:textId="77777777" w:rsidR="004E3113" w:rsidRPr="00B663C4" w:rsidRDefault="004E3113" w:rsidP="004E3113">
      <w:pPr>
        <w:widowControl/>
        <w:numPr>
          <w:ilvl w:val="0"/>
          <w:numId w:val="1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chops a corner-point model into coarse blocks</w:t>
      </w:r>
    </w:p>
    <w:p w14:paraId="46C67DE1" w14:textId="77777777" w:rsidR="004E3113" w:rsidRPr="00B663C4" w:rsidRDefault="004E3113" w:rsidP="004E3113">
      <w:pPr>
        <w:widowControl/>
        <w:numPr>
          <w:ilvl w:val="0"/>
          <w:numId w:val="13"/>
        </w:numPr>
        <w:spacing w:line="240" w:lineRule="auto"/>
        <w:ind w:left="187" w:firstLineChars="0"/>
        <w:jc w:val="left"/>
        <w:textAlignment w:val="baseline"/>
        <w:rPr>
          <w:rFonts w:ascii="inherit" w:eastAsia="宋体" w:hAnsi="inherit" w:cs="Arial" w:hint="eastAsia"/>
          <w:color w:val="2B2B2B"/>
          <w:kern w:val="0"/>
          <w:sz w:val="15"/>
          <w:szCs w:val="15"/>
        </w:rPr>
      </w:pPr>
      <w:r w:rsidRPr="00B663C4">
        <w:rPr>
          <w:rFonts w:ascii="inherit" w:eastAsia="宋体" w:hAnsi="inherit" w:cs="Arial"/>
          <w:color w:val="2B2B2B"/>
          <w:kern w:val="0"/>
          <w:sz w:val="15"/>
          <w:szCs w:val="15"/>
        </w:rPr>
        <w:t>upscales individual blocks in parallel</w:t>
      </w:r>
    </w:p>
    <w:p w14:paraId="47D80C1C" w14:textId="77777777" w:rsidR="004E3113" w:rsidRDefault="004E3113" w:rsidP="004E3113">
      <w:pPr>
        <w:ind w:firstLine="480"/>
      </w:pPr>
    </w:p>
    <w:p w14:paraId="4655732D" w14:textId="77777777" w:rsidR="004E3113" w:rsidRDefault="004E3113" w:rsidP="004E3113">
      <w:pPr>
        <w:ind w:firstLine="480"/>
      </w:pPr>
    </w:p>
    <w:sectPr w:rsidR="004E3113" w:rsidSect="00D01E9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4896C" w14:textId="77777777" w:rsidR="00114D42" w:rsidRDefault="00114D42" w:rsidP="00D832B8">
      <w:pPr>
        <w:spacing w:line="240" w:lineRule="auto"/>
        <w:ind w:firstLine="480"/>
      </w:pPr>
      <w:r>
        <w:separator/>
      </w:r>
    </w:p>
  </w:endnote>
  <w:endnote w:type="continuationSeparator" w:id="0">
    <w:p w14:paraId="56DE637E" w14:textId="77777777" w:rsidR="00114D42" w:rsidRDefault="00114D42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3D5C" w14:textId="77777777" w:rsidR="00386B9C" w:rsidRDefault="00386B9C" w:rsidP="00386B9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B9C4" w14:textId="77777777" w:rsidR="00386B9C" w:rsidRDefault="00386B9C" w:rsidP="00386B9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5CA7" w14:textId="77777777" w:rsidR="00386B9C" w:rsidRDefault="00386B9C" w:rsidP="00386B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89E82" w14:textId="77777777" w:rsidR="00114D42" w:rsidRDefault="00114D42" w:rsidP="00D832B8">
      <w:pPr>
        <w:spacing w:line="240" w:lineRule="auto"/>
        <w:ind w:firstLine="480"/>
      </w:pPr>
      <w:r>
        <w:separator/>
      </w:r>
    </w:p>
  </w:footnote>
  <w:footnote w:type="continuationSeparator" w:id="0">
    <w:p w14:paraId="613EE20E" w14:textId="77777777" w:rsidR="00114D42" w:rsidRDefault="00114D42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CA94C" w14:textId="77777777" w:rsidR="00386B9C" w:rsidRDefault="00386B9C" w:rsidP="00386B9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427A6" w14:textId="77777777"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5ABDB" w14:textId="77777777" w:rsidR="00386B9C" w:rsidRDefault="00386B9C" w:rsidP="00386B9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94D27"/>
    <w:multiLevelType w:val="multilevel"/>
    <w:tmpl w:val="479C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B97643"/>
    <w:multiLevelType w:val="hybridMultilevel"/>
    <w:tmpl w:val="531AA29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3567ADC"/>
    <w:multiLevelType w:val="multilevel"/>
    <w:tmpl w:val="1AA21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920972"/>
    <w:multiLevelType w:val="hybridMultilevel"/>
    <w:tmpl w:val="2F38EA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9FC7471"/>
    <w:multiLevelType w:val="multilevel"/>
    <w:tmpl w:val="D046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DB2700"/>
    <w:multiLevelType w:val="multilevel"/>
    <w:tmpl w:val="E6FA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1B3D38"/>
    <w:multiLevelType w:val="hybridMultilevel"/>
    <w:tmpl w:val="B7D04A7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19C3891"/>
    <w:multiLevelType w:val="multilevel"/>
    <w:tmpl w:val="A078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440E90"/>
    <w:multiLevelType w:val="multilevel"/>
    <w:tmpl w:val="D2E07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D117D4D"/>
    <w:multiLevelType w:val="multilevel"/>
    <w:tmpl w:val="9646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C1052B"/>
    <w:multiLevelType w:val="multilevel"/>
    <w:tmpl w:val="0A36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C855AC4"/>
    <w:multiLevelType w:val="multilevel"/>
    <w:tmpl w:val="D9B6C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D4339CB"/>
    <w:multiLevelType w:val="multilevel"/>
    <w:tmpl w:val="BED0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96209432">
    <w:abstractNumId w:val="12"/>
  </w:num>
  <w:num w:numId="2" w16cid:durableId="2002418210">
    <w:abstractNumId w:val="4"/>
  </w:num>
  <w:num w:numId="3" w16cid:durableId="375203180">
    <w:abstractNumId w:val="5"/>
  </w:num>
  <w:num w:numId="4" w16cid:durableId="1873228922">
    <w:abstractNumId w:val="0"/>
  </w:num>
  <w:num w:numId="5" w16cid:durableId="1202941759">
    <w:abstractNumId w:val="10"/>
  </w:num>
  <w:num w:numId="6" w16cid:durableId="1285312069">
    <w:abstractNumId w:val="2"/>
  </w:num>
  <w:num w:numId="7" w16cid:durableId="1518158370">
    <w:abstractNumId w:val="6"/>
  </w:num>
  <w:num w:numId="8" w16cid:durableId="461265739">
    <w:abstractNumId w:val="1"/>
  </w:num>
  <w:num w:numId="9" w16cid:durableId="1479957743">
    <w:abstractNumId w:val="3"/>
  </w:num>
  <w:num w:numId="10" w16cid:durableId="1127965446">
    <w:abstractNumId w:val="7"/>
  </w:num>
  <w:num w:numId="11" w16cid:durableId="1489633424">
    <w:abstractNumId w:val="11"/>
  </w:num>
  <w:num w:numId="12" w16cid:durableId="141315515">
    <w:abstractNumId w:val="8"/>
  </w:num>
  <w:num w:numId="13" w16cid:durableId="13114482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32B8"/>
    <w:rsid w:val="00114D42"/>
    <w:rsid w:val="00142288"/>
    <w:rsid w:val="00386B9C"/>
    <w:rsid w:val="003D15D0"/>
    <w:rsid w:val="004105C3"/>
    <w:rsid w:val="004307E4"/>
    <w:rsid w:val="004443B9"/>
    <w:rsid w:val="00480798"/>
    <w:rsid w:val="004D33FB"/>
    <w:rsid w:val="004E3113"/>
    <w:rsid w:val="00503A80"/>
    <w:rsid w:val="00527A0E"/>
    <w:rsid w:val="006374D1"/>
    <w:rsid w:val="006510DC"/>
    <w:rsid w:val="00780AF2"/>
    <w:rsid w:val="0078114F"/>
    <w:rsid w:val="00935501"/>
    <w:rsid w:val="0095072E"/>
    <w:rsid w:val="009D4751"/>
    <w:rsid w:val="00A12DF0"/>
    <w:rsid w:val="00A476C4"/>
    <w:rsid w:val="00A71AE2"/>
    <w:rsid w:val="00AC26C9"/>
    <w:rsid w:val="00B62D0D"/>
    <w:rsid w:val="00BF5A20"/>
    <w:rsid w:val="00C85ADB"/>
    <w:rsid w:val="00D01E9C"/>
    <w:rsid w:val="00D52A5D"/>
    <w:rsid w:val="00D832B8"/>
    <w:rsid w:val="00D87A4C"/>
    <w:rsid w:val="00DA57E3"/>
    <w:rsid w:val="00DC3A3E"/>
    <w:rsid w:val="00FA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450E3C"/>
  <w15:docId w15:val="{BA31E5C5-BB7E-4791-AD97-D19CD9F50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832B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832B8"/>
    <w:rPr>
      <w:sz w:val="18"/>
      <w:szCs w:val="18"/>
    </w:rPr>
  </w:style>
  <w:style w:type="paragraph" w:styleId="a7">
    <w:name w:val="No Spacing"/>
    <w:uiPriority w:val="1"/>
    <w:rsid w:val="00D832B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1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4D33FB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4D33FB"/>
    <w:rPr>
      <w:rFonts w:ascii="宋体" w:eastAsia="宋体" w:hAnsi="Times New Roman"/>
      <w:sz w:val="18"/>
      <w:szCs w:val="18"/>
    </w:rPr>
  </w:style>
  <w:style w:type="paragraph" w:customStyle="1" w:styleId="aa">
    <w:name w:val="代码"/>
    <w:basedOn w:val="a"/>
    <w:qFormat/>
    <w:rsid w:val="00B62D0D"/>
    <w:pPr>
      <w:spacing w:line="240" w:lineRule="auto"/>
      <w:ind w:firstLineChars="0" w:firstLine="0"/>
      <w:jc w:val="left"/>
    </w:pPr>
    <w:rPr>
      <w:sz w:val="21"/>
    </w:rPr>
  </w:style>
  <w:style w:type="paragraph" w:styleId="ab">
    <w:name w:val="List Paragraph"/>
    <w:basedOn w:val="a"/>
    <w:uiPriority w:val="34"/>
    <w:qFormat/>
    <w:rsid w:val="004E3113"/>
    <w:pPr>
      <w:ind w:firstLine="420"/>
    </w:pPr>
  </w:style>
  <w:style w:type="paragraph" w:styleId="ac">
    <w:name w:val="Balloon Text"/>
    <w:basedOn w:val="a"/>
    <w:link w:val="ad"/>
    <w:uiPriority w:val="99"/>
    <w:semiHidden/>
    <w:unhideWhenUsed/>
    <w:rsid w:val="004E3113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4E3113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emf"/><Relationship Id="rId18" Type="http://schemas.openxmlformats.org/officeDocument/2006/relationships/hyperlink" Target="https://opm-project.org/?p=592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opm-project.org/wp-content/uploads/2015/10/OPM-Flow.png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une-project.org/modules/dune-subgrid/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hyperlink" Target="https://opm-project.org/?page_id=56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965</Words>
  <Characters>5505</Characters>
  <Application>Microsoft Office Word</Application>
  <DocSecurity>0</DocSecurity>
  <Lines>45</Lines>
  <Paragraphs>12</Paragraphs>
  <ScaleCrop>false</ScaleCrop>
  <Company>Microsoft</Company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李 健</cp:lastModifiedBy>
  <cp:revision>19</cp:revision>
  <dcterms:created xsi:type="dcterms:W3CDTF">2018-09-12T01:04:00Z</dcterms:created>
  <dcterms:modified xsi:type="dcterms:W3CDTF">2023-07-11T12:08:00Z</dcterms:modified>
</cp:coreProperties>
</file>