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49BD" w:rsidRPr="000204BF" w:rsidRDefault="00332052">
      <w:pPr>
        <w:pStyle w:val="Heading1"/>
        <w:rPr>
          <w:rFonts w:eastAsiaTheme="minorEastAsia" w:hint="eastAsia"/>
        </w:rPr>
      </w:pPr>
      <w:r>
        <w:t>My first reservoir simulation</w:t>
      </w:r>
      <w:r w:rsidR="000204BF">
        <w:rPr>
          <w:rFonts w:eastAsiaTheme="minorEastAsia" w:hint="eastAsia"/>
        </w:rPr>
        <w:t xml:space="preserve"> (SPE1)</w:t>
      </w:r>
    </w:p>
    <w:p w:rsidR="00C349BD" w:rsidRDefault="00332052">
      <w:pPr>
        <w:pStyle w:val="a4"/>
      </w:pPr>
      <w:r>
        <w:t>https://opm-project.org/</w:t>
      </w:r>
    </w:p>
    <w:p w:rsidR="00C349BD" w:rsidRDefault="00332052">
      <w:pPr>
        <w:pStyle w:val="a4"/>
      </w:pPr>
      <w:r>
        <w:t xml:space="preserve">This tutorial will lead you through the steps required to run your very first reservoir simulation using </w:t>
      </w:r>
      <w:r>
        <w:rPr>
          <w:rStyle w:val="a5"/>
        </w:rPr>
        <w:t>Flow</w:t>
      </w:r>
      <w:r>
        <w:t xml:space="preserve">. We will take a look at how we can simulate the  reservoir model from the 1st SPE </w:t>
      </w:r>
      <w:r>
        <w:t>Comparative Solution Project  (CSP) designed for benchmarking 3D black-oil simulators</w:t>
      </w:r>
    </w:p>
    <w:p w:rsidR="00C349BD" w:rsidRDefault="00332052">
      <w:pPr>
        <w:pStyle w:val="a4"/>
      </w:pPr>
      <w:r>
        <w:rPr>
          <w:noProof/>
          <w:lang w:bidi="ar-SA"/>
        </w:rPr>
        <w:drawing>
          <wp:inline distT="0" distB="0" distL="0" distR="0">
            <wp:extent cx="5657545" cy="3775878"/>
            <wp:effectExtent l="19050" t="19050" r="19355" b="15072"/>
            <wp:docPr id="1" name="图像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a:hlinkClick r:id="rId5"/>
                    </pic:cNvPr>
                    <pic:cNvPicPr>
                      <a:picLocks noChangeAspect="1" noChangeArrowheads="1"/>
                    </pic:cNvPicPr>
                  </pic:nvPicPr>
                  <pic:blipFill>
                    <a:blip r:embed="rId6"/>
                    <a:stretch>
                      <a:fillRect/>
                    </a:stretch>
                  </pic:blipFill>
                  <pic:spPr bwMode="auto">
                    <a:xfrm>
                      <a:off x="0" y="0"/>
                      <a:ext cx="5658997" cy="3776847"/>
                    </a:xfrm>
                    <a:prstGeom prst="rect">
                      <a:avLst/>
                    </a:prstGeom>
                    <a:ln w="9525">
                      <a:solidFill>
                        <a:srgbClr val="000080"/>
                      </a:solidFill>
                    </a:ln>
                  </pic:spPr>
                </pic:pic>
              </a:graphicData>
            </a:graphic>
          </wp:inline>
        </w:drawing>
      </w:r>
    </w:p>
    <w:p w:rsidR="00C349BD" w:rsidRDefault="00332052">
      <w:pPr>
        <w:pStyle w:val="a4"/>
      </w:pPr>
      <w:r>
        <w:t xml:space="preserve">The tutorial assumes that you are familiar with Linux, have Ubuntu 16.04 or 18.04 installed, and are allowed to run the </w:t>
      </w:r>
      <w:r>
        <w:rPr>
          <w:rStyle w:val="a5"/>
        </w:rPr>
        <w:t>sudo</w:t>
      </w:r>
      <w:r>
        <w:t xml:space="preserve"> command.</w:t>
      </w:r>
    </w:p>
    <w:p w:rsidR="00C349BD" w:rsidRDefault="00332052">
      <w:pPr>
        <w:pStyle w:val="a4"/>
      </w:pPr>
      <w:r>
        <w:t>We will explain how to </w:t>
      </w:r>
      <w:r w:rsidR="00475847">
        <w:rPr>
          <w:rFonts w:eastAsiaTheme="minorEastAsia" w:hint="eastAsia"/>
        </w:rPr>
        <w:t xml:space="preserve"> </w:t>
      </w:r>
      <w:r>
        <w:t>install the</w:t>
      </w:r>
      <w:r>
        <w:t xml:space="preserve"> required tools, download a test dataset, run the simulator, and finally inspect the simulation results.</w:t>
      </w:r>
    </w:p>
    <w:p w:rsidR="00C349BD" w:rsidRDefault="00332052">
      <w:pPr>
        <w:pStyle w:val="Heading3"/>
      </w:pPr>
      <w:r>
        <w:t>Installing the required software</w:t>
      </w:r>
    </w:p>
    <w:p w:rsidR="00C349BD" w:rsidRDefault="00332052">
      <w:pPr>
        <w:pStyle w:val="a4"/>
      </w:pPr>
      <w:r>
        <w:t xml:space="preserve">Details on installing </w:t>
      </w:r>
      <w:r>
        <w:rPr>
          <w:rStyle w:val="a5"/>
        </w:rPr>
        <w:t>Flow</w:t>
      </w:r>
      <w:r>
        <w:t xml:space="preserve"> on different platforms is outlined on the </w:t>
      </w:r>
      <w:hyperlink r:id="rId7">
        <w:r>
          <w:rPr>
            <w:rStyle w:val="Internet"/>
          </w:rPr>
          <w:t>installation instructions</w:t>
        </w:r>
      </w:hyperlink>
      <w:r>
        <w:t xml:space="preserve"> page. Follow those instructions, and then come back to this tutorial.</w:t>
      </w:r>
    </w:p>
    <w:p w:rsidR="00C349BD" w:rsidRDefault="00332052">
      <w:pPr>
        <w:pStyle w:val="a4"/>
      </w:pPr>
      <w:r>
        <w:t xml:space="preserve">You can verify that </w:t>
      </w:r>
      <w:r>
        <w:rPr>
          <w:rStyle w:val="a5"/>
        </w:rPr>
        <w:t>Flow</w:t>
      </w:r>
      <w:r>
        <w:t xml:space="preserve"> is installed by entering the command “flow” on the command line. You should see a message containing a long list of command-line op</w:t>
      </w:r>
      <w:r>
        <w:t>tions. If you installed from source instead of binary packages you must give the full path to the Flow executable instead of just typing “flow” (for example “~/opm/opm-simulators/build/bin/flow”), or put that directory in your PATH.</w:t>
      </w:r>
    </w:p>
    <w:p w:rsidR="00C349BD" w:rsidRDefault="00332052">
      <w:pPr>
        <w:pStyle w:val="Heading3"/>
      </w:pPr>
      <w:r>
        <w:t>Download dataset</w:t>
      </w:r>
    </w:p>
    <w:p w:rsidR="00C349BD" w:rsidRDefault="00332052">
      <w:pPr>
        <w:pStyle w:val="a4"/>
      </w:pPr>
      <w:r>
        <w:t>The Op</w:t>
      </w:r>
      <w:r>
        <w:t>en Porous Media initiative has made several benchmark datasets available under an Open Database License. The datasets are available on Github, </w:t>
      </w:r>
      <w:hyperlink r:id="rId8" w:tgtFrame="_blank">
        <w:r>
          <w:rPr>
            <w:rStyle w:val="Internet"/>
          </w:rPr>
          <w:t>https://github.com/OPM/opm-data</w:t>
        </w:r>
      </w:hyperlink>
      <w:r>
        <w:t>.</w:t>
      </w:r>
    </w:p>
    <w:p w:rsidR="00C349BD" w:rsidRDefault="00332052">
      <w:pPr>
        <w:pStyle w:val="a4"/>
      </w:pPr>
      <w:r>
        <w:lastRenderedPageBreak/>
        <w:t>The datasets includ</w:t>
      </w:r>
      <w:r>
        <w:t xml:space="preserve">e models of synthetic and realistic reservoirs, and in particular open versions of the models from several of the </w:t>
      </w:r>
      <w:hyperlink r:id="rId9" w:tgtFrame="_blank">
        <w:r>
          <w:rPr>
            <w:rStyle w:val="Internet"/>
          </w:rPr>
          <w:t>SPE Comparative Solution Projects</w:t>
        </w:r>
      </w:hyperlink>
      <w:r>
        <w:t> and the simulation model of the </w:t>
      </w:r>
      <w:hyperlink r:id="rId10" w:tgtFrame="_blank">
        <w:r>
          <w:rPr>
            <w:rStyle w:val="Internet"/>
          </w:rPr>
          <w:t>Norne</w:t>
        </w:r>
      </w:hyperlink>
      <w:r>
        <w:t> field.</w:t>
      </w:r>
    </w:p>
    <w:p w:rsidR="00C349BD" w:rsidRDefault="00332052">
      <w:pPr>
        <w:pStyle w:val="a4"/>
      </w:pPr>
      <w:r>
        <w:t>The simplest way to get the datasets is to download them as a zip file from Github:</w:t>
      </w:r>
    </w:p>
    <w:p w:rsidR="00C349BD" w:rsidRDefault="00332052">
      <w:pPr>
        <w:pStyle w:val="ab"/>
      </w:pPr>
      <w:r>
        <w:t>cd ~/</w:t>
      </w:r>
    </w:p>
    <w:p w:rsidR="00C349BD" w:rsidRDefault="00332052">
      <w:pPr>
        <w:pStyle w:val="ab"/>
        <w:spacing w:after="283"/>
      </w:pPr>
      <w:r>
        <w:t>wget https://github.com/OPM/opm-data/archive/master.zip</w:t>
      </w:r>
    </w:p>
    <w:p w:rsidR="00C349BD" w:rsidRDefault="00332052">
      <w:pPr>
        <w:pStyle w:val="a4"/>
      </w:pPr>
      <w:r>
        <w:t>Note that this is quite a big down</w:t>
      </w:r>
      <w:r>
        <w:t>load (about 200 MB). Once downloaded, you can unzip it using the following command:</w:t>
      </w:r>
    </w:p>
    <w:p w:rsidR="00C349BD" w:rsidRDefault="00332052">
      <w:pPr>
        <w:pStyle w:val="ab"/>
        <w:spacing w:after="283"/>
      </w:pPr>
      <w:r>
        <w:t>unzip master.zip</w:t>
      </w:r>
    </w:p>
    <w:p w:rsidR="00C349BD" w:rsidRDefault="00332052">
      <w:pPr>
        <w:pStyle w:val="a4"/>
      </w:pPr>
      <w:r>
        <w:t>This will give you a directory structure with all the datasets.</w:t>
      </w:r>
    </w:p>
    <w:p w:rsidR="00C349BD" w:rsidRDefault="00332052">
      <w:pPr>
        <w:pStyle w:val="Heading3"/>
      </w:pPr>
      <w:r>
        <w:t xml:space="preserve">Running </w:t>
      </w:r>
      <w:r>
        <w:rPr>
          <w:rStyle w:val="a5"/>
        </w:rPr>
        <w:t>Flow</w:t>
      </w:r>
    </w:p>
    <w:p w:rsidR="00C349BD" w:rsidRDefault="00332052">
      <w:pPr>
        <w:pStyle w:val="a4"/>
      </w:pPr>
      <w:r>
        <w:t xml:space="preserve">We are now ready to run </w:t>
      </w:r>
      <w:r>
        <w:rPr>
          <w:rStyle w:val="a5"/>
        </w:rPr>
        <w:t>Flow</w:t>
      </w:r>
      <w:r>
        <w:t>. Start off by entering the directory containing t</w:t>
      </w:r>
      <w:r>
        <w:t>he SPE1 dataset,</w:t>
      </w:r>
    </w:p>
    <w:p w:rsidR="00C349BD" w:rsidRDefault="00332052">
      <w:pPr>
        <w:pStyle w:val="ab"/>
        <w:spacing w:after="283"/>
      </w:pPr>
      <w:r>
        <w:t>cd opm-data-master/spe1</w:t>
      </w:r>
    </w:p>
    <w:p w:rsidR="00C349BD" w:rsidRDefault="00332052">
      <w:pPr>
        <w:pStyle w:val="a4"/>
      </w:pPr>
      <w:r>
        <w:t xml:space="preserve">From here, you can execute </w:t>
      </w:r>
      <w:r>
        <w:rPr>
          <w:rStyle w:val="a5"/>
        </w:rPr>
        <w:t>Flow</w:t>
      </w:r>
      <w:r>
        <w:t xml:space="preserve"> by giving the file name of the input deck as a parameter:</w:t>
      </w:r>
    </w:p>
    <w:p w:rsidR="00C349BD" w:rsidRDefault="00332052">
      <w:pPr>
        <w:pStyle w:val="ab"/>
        <w:spacing w:after="283"/>
      </w:pPr>
      <w:r>
        <w:t>flow SPE1CASE1.DATA</w:t>
      </w:r>
    </w:p>
    <w:p w:rsidR="00475847" w:rsidRDefault="00332052">
      <w:pPr>
        <w:pStyle w:val="a4"/>
        <w:rPr>
          <w:rStyle w:val="a5"/>
          <w:rFonts w:eastAsiaTheme="minorEastAsia" w:hint="eastAsia"/>
        </w:rPr>
      </w:pPr>
      <w:r>
        <w:rPr>
          <w:noProof/>
          <w:lang w:bidi="ar-SA"/>
        </w:rPr>
        <w:drawing>
          <wp:inline distT="0" distB="0" distL="0" distR="0">
            <wp:extent cx="5859438" cy="3535033"/>
            <wp:effectExtent l="19050" t="19050" r="27012" b="27317"/>
            <wp:docPr id="2" name="图像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2">
                      <a:hlinkClick r:id="rId11"/>
                    </pic:cNvPr>
                    <pic:cNvPicPr>
                      <a:picLocks noChangeAspect="1" noChangeArrowheads="1"/>
                    </pic:cNvPicPr>
                  </pic:nvPicPr>
                  <pic:blipFill>
                    <a:blip r:embed="rId12"/>
                    <a:stretch>
                      <a:fillRect/>
                    </a:stretch>
                  </pic:blipFill>
                  <pic:spPr bwMode="auto">
                    <a:xfrm>
                      <a:off x="0" y="0"/>
                      <a:ext cx="5855423" cy="3532611"/>
                    </a:xfrm>
                    <a:prstGeom prst="rect">
                      <a:avLst/>
                    </a:prstGeom>
                    <a:ln w="9525">
                      <a:solidFill>
                        <a:srgbClr val="000080"/>
                      </a:solidFill>
                    </a:ln>
                  </pic:spPr>
                </pic:pic>
              </a:graphicData>
            </a:graphic>
          </wp:inline>
        </w:drawing>
      </w:r>
    </w:p>
    <w:p w:rsidR="00C349BD" w:rsidRDefault="00332052">
      <w:pPr>
        <w:pStyle w:val="a4"/>
      </w:pPr>
      <w:r>
        <w:rPr>
          <w:rStyle w:val="a5"/>
        </w:rPr>
        <w:t>Flow</w:t>
      </w:r>
      <w:r>
        <w:t xml:space="preserve"> will now execute and output information about the simulation case as it progresses. It should compl</w:t>
      </w:r>
      <w:r>
        <w:t>ete within less than a minute and give the following new files:</w:t>
      </w:r>
    </w:p>
    <w:p w:rsidR="00C349BD" w:rsidRDefault="00332052">
      <w:pPr>
        <w:pStyle w:val="ab"/>
      </w:pPr>
      <w:r>
        <w:t>SPE1CASE1.EGRID</w:t>
      </w:r>
    </w:p>
    <w:p w:rsidR="00C349BD" w:rsidRDefault="00332052">
      <w:pPr>
        <w:pStyle w:val="ab"/>
      </w:pPr>
      <w:r>
        <w:t>SPE1CASE1.INIT</w:t>
      </w:r>
    </w:p>
    <w:p w:rsidR="00C349BD" w:rsidRDefault="00332052">
      <w:pPr>
        <w:pStyle w:val="ab"/>
      </w:pPr>
      <w:r>
        <w:t>SPE1CASE1.SMSPEC</w:t>
      </w:r>
    </w:p>
    <w:p w:rsidR="00C349BD" w:rsidRDefault="00332052">
      <w:pPr>
        <w:pStyle w:val="ab"/>
      </w:pPr>
      <w:r>
        <w:t>SPE1CASE1.UNRST</w:t>
      </w:r>
    </w:p>
    <w:p w:rsidR="00C349BD" w:rsidRDefault="00332052">
      <w:pPr>
        <w:pStyle w:val="ab"/>
        <w:spacing w:after="283"/>
      </w:pPr>
      <w:r>
        <w:t>SPE1CASE1.UNSMRY</w:t>
      </w:r>
    </w:p>
    <w:p w:rsidR="00C349BD" w:rsidRDefault="00332052">
      <w:pPr>
        <w:pStyle w:val="Heading3"/>
      </w:pPr>
      <w:r>
        <w:lastRenderedPageBreak/>
        <w:t>Plotting well curves</w:t>
      </w:r>
    </w:p>
    <w:p w:rsidR="00C349BD" w:rsidRDefault="00332052">
      <w:pPr>
        <w:pStyle w:val="a4"/>
      </w:pPr>
      <w:r>
        <w:t>The results of the simulation can be viewed with several different tools, but we will here</w:t>
      </w:r>
      <w:r>
        <w:t xml:space="preserve"> use the tool-chain that has the fewest dependencies.</w:t>
      </w:r>
    </w:p>
    <w:p w:rsidR="00C349BD" w:rsidRDefault="00332052">
      <w:pPr>
        <w:pStyle w:val="a4"/>
      </w:pPr>
      <w:r>
        <w:t xml:space="preserve">First, we will examine which variables we can view using the </w:t>
      </w:r>
      <w:r>
        <w:rPr>
          <w:rStyle w:val="a5"/>
        </w:rPr>
        <w:t>ecl_summary</w:t>
      </w:r>
      <w:r>
        <w:t xml:space="preserve"> tool from </w:t>
      </w:r>
      <w:hyperlink r:id="rId13">
        <w:r>
          <w:rPr>
            <w:rStyle w:val="Internet"/>
            <w:rFonts w:ascii="Liberation Mono" w:eastAsia="Noto Sans Mono CJK SC" w:hAnsi="Liberation Mono" w:cs="Liberation Mono"/>
          </w:rPr>
          <w:t>libecl</w:t>
        </w:r>
      </w:hyperlink>
      <w:r>
        <w:t xml:space="preserve">, which should already be installed since </w:t>
      </w:r>
      <w:r>
        <w:rPr>
          <w:rStyle w:val="a5"/>
        </w:rPr>
        <w:t>libecl</w:t>
      </w:r>
      <w:r>
        <w:t xml:space="preserve"> is needed by </w:t>
      </w:r>
      <w:r>
        <w:rPr>
          <w:rStyle w:val="a5"/>
        </w:rPr>
        <w:t>Flow</w:t>
      </w:r>
      <w:r>
        <w:t xml:space="preserve">. (Note: if you installed libecl from source, the program is called </w:t>
      </w:r>
      <w:r>
        <w:rPr>
          <w:rStyle w:val="a5"/>
        </w:rPr>
        <w:t>summary.x</w:t>
      </w:r>
      <w:r>
        <w:t xml:space="preserve"> and will be located in your build directory.) By typing</w:t>
      </w:r>
    </w:p>
    <w:p w:rsidR="00C349BD" w:rsidRDefault="00332052">
      <w:pPr>
        <w:pStyle w:val="ab"/>
        <w:spacing w:after="283"/>
      </w:pPr>
      <w:r>
        <w:t>ecl_summary --list SPE1CASE1.DATA</w:t>
      </w:r>
    </w:p>
    <w:p w:rsidR="00C349BD" w:rsidRDefault="00332052">
      <w:pPr>
        <w:pStyle w:val="a4"/>
      </w:pPr>
      <w:r>
        <w:t>we get a list of the different variables that are available:</w:t>
      </w:r>
    </w:p>
    <w:p w:rsidR="00C349BD" w:rsidRDefault="00332052">
      <w:pPr>
        <w:pStyle w:val="a4"/>
      </w:pPr>
      <w:r>
        <w:rPr>
          <w:noProof/>
          <w:lang w:bidi="ar-SA"/>
        </w:rPr>
        <w:drawing>
          <wp:inline distT="0" distB="0" distL="0" distR="0">
            <wp:extent cx="6079826" cy="2603092"/>
            <wp:effectExtent l="19050" t="19050" r="16174" b="25808"/>
            <wp:docPr id="3" name="图像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3">
                      <a:hlinkClick r:id="rId14"/>
                    </pic:cNvPr>
                    <pic:cNvPicPr>
                      <a:picLocks noChangeAspect="1" noChangeArrowheads="1"/>
                    </pic:cNvPicPr>
                  </pic:nvPicPr>
                  <pic:blipFill>
                    <a:blip r:embed="rId15"/>
                    <a:stretch>
                      <a:fillRect/>
                    </a:stretch>
                  </pic:blipFill>
                  <pic:spPr bwMode="auto">
                    <a:xfrm>
                      <a:off x="0" y="0"/>
                      <a:ext cx="6084660" cy="2605162"/>
                    </a:xfrm>
                    <a:prstGeom prst="rect">
                      <a:avLst/>
                    </a:prstGeom>
                    <a:ln w="9525">
                      <a:solidFill>
                        <a:srgbClr val="000080"/>
                      </a:solidFill>
                    </a:ln>
                  </pic:spPr>
                </pic:pic>
              </a:graphicData>
            </a:graphic>
          </wp:inline>
        </w:drawing>
      </w:r>
    </w:p>
    <w:p w:rsidR="00C349BD" w:rsidRDefault="00332052">
      <w:pPr>
        <w:pStyle w:val="a4"/>
      </w:pPr>
      <w:r>
        <w:t>Some of the more in</w:t>
      </w:r>
      <w:r>
        <w:t>teresting ones are:</w:t>
      </w:r>
    </w:p>
    <w:p w:rsidR="00C349BD" w:rsidRDefault="00332052">
      <w:pPr>
        <w:pStyle w:val="a4"/>
        <w:numPr>
          <w:ilvl w:val="0"/>
          <w:numId w:val="1"/>
        </w:numPr>
        <w:tabs>
          <w:tab w:val="left" w:pos="707"/>
        </w:tabs>
        <w:spacing w:after="0"/>
      </w:pPr>
      <w:r>
        <w:t xml:space="preserve">WBHP:INJ – Bottom hole pressure of INJ well </w:t>
      </w:r>
    </w:p>
    <w:p w:rsidR="00C349BD" w:rsidRDefault="00332052">
      <w:pPr>
        <w:pStyle w:val="a4"/>
        <w:numPr>
          <w:ilvl w:val="0"/>
          <w:numId w:val="1"/>
        </w:numPr>
        <w:tabs>
          <w:tab w:val="left" w:pos="707"/>
        </w:tabs>
        <w:spacing w:after="0"/>
      </w:pPr>
      <w:r>
        <w:t xml:space="preserve">WGIR:INJ – Gas injection rate of INJ well </w:t>
      </w:r>
    </w:p>
    <w:p w:rsidR="00C349BD" w:rsidRDefault="00332052">
      <w:pPr>
        <w:pStyle w:val="a4"/>
        <w:numPr>
          <w:ilvl w:val="0"/>
          <w:numId w:val="1"/>
        </w:numPr>
        <w:tabs>
          <w:tab w:val="left" w:pos="707"/>
        </w:tabs>
        <w:spacing w:after="0"/>
      </w:pPr>
      <w:r>
        <w:t xml:space="preserve">WBHP:PROD – Bottom hole pressure of PROD well </w:t>
      </w:r>
    </w:p>
    <w:p w:rsidR="00C349BD" w:rsidRDefault="00332052">
      <w:pPr>
        <w:pStyle w:val="a4"/>
        <w:numPr>
          <w:ilvl w:val="0"/>
          <w:numId w:val="1"/>
        </w:numPr>
        <w:tabs>
          <w:tab w:val="left" w:pos="707"/>
        </w:tabs>
        <w:spacing w:after="0"/>
      </w:pPr>
      <w:r>
        <w:t xml:space="preserve">WOPR:PROD – Oil production rate of PROD well </w:t>
      </w:r>
    </w:p>
    <w:p w:rsidR="00C349BD" w:rsidRDefault="00332052">
      <w:pPr>
        <w:pStyle w:val="a4"/>
        <w:numPr>
          <w:ilvl w:val="0"/>
          <w:numId w:val="1"/>
        </w:numPr>
        <w:tabs>
          <w:tab w:val="left" w:pos="707"/>
        </w:tabs>
      </w:pPr>
      <w:r>
        <w:t xml:space="preserve">WGPR:PROD – Gas production rate of PROD well </w:t>
      </w:r>
    </w:p>
    <w:p w:rsidR="00C349BD" w:rsidRDefault="00332052">
      <w:pPr>
        <w:pStyle w:val="a4"/>
      </w:pPr>
      <w:r>
        <w:t>To manual</w:t>
      </w:r>
      <w:r>
        <w:t>ly inspect the values you can also use the same tool, for example:</w:t>
      </w:r>
    </w:p>
    <w:p w:rsidR="00C349BD" w:rsidRDefault="00332052">
      <w:pPr>
        <w:pStyle w:val="ab"/>
        <w:spacing w:after="283"/>
      </w:pPr>
      <w:r>
        <w:t>ecl_summary SPE1CASE1.DATA WBHP:INJ</w:t>
      </w:r>
    </w:p>
    <w:p w:rsidR="00C349BD" w:rsidRDefault="00332052">
      <w:pPr>
        <w:pStyle w:val="a4"/>
      </w:pPr>
      <w:r>
        <w:t xml:space="preserve">Next, we use a python script called </w:t>
      </w:r>
      <w:r>
        <w:rPr>
          <w:rStyle w:val="a5"/>
        </w:rPr>
        <w:t>summaryplot</w:t>
      </w:r>
      <w:r>
        <w:t xml:space="preserve"> from </w:t>
      </w:r>
      <w:hyperlink r:id="rId16" w:tgtFrame="_blank">
        <w:r>
          <w:rPr>
            <w:rStyle w:val="Internet"/>
            <w:rFonts w:ascii="Liberation Mono" w:eastAsia="Noto Sans Mono CJK SC" w:hAnsi="Liberation Mono" w:cs="Liberation Mono"/>
          </w:rPr>
          <w:t>opm-utilities</w:t>
        </w:r>
      </w:hyperlink>
      <w:r>
        <w:t> to plot these varia</w:t>
      </w:r>
      <w:r>
        <w:t>bles. Start by downloading the script with the following commands:</w:t>
      </w:r>
    </w:p>
    <w:p w:rsidR="00C349BD" w:rsidRDefault="00332052">
      <w:pPr>
        <w:pStyle w:val="ab"/>
        <w:spacing w:after="283"/>
      </w:pPr>
      <w:r>
        <w:t>wget https://raw.githubusercontent.com/OPM/opm-utilities/master/summaryplot</w:t>
      </w:r>
    </w:p>
    <w:p w:rsidR="00C349BD" w:rsidRDefault="00332052">
      <w:pPr>
        <w:pStyle w:val="a4"/>
      </w:pPr>
      <w:r>
        <w:t>Summary plot requires python and the ECL python bindings:</w:t>
      </w:r>
    </w:p>
    <w:p w:rsidR="00C349BD" w:rsidRDefault="00332052">
      <w:pPr>
        <w:pStyle w:val="ab"/>
        <w:spacing w:after="283"/>
      </w:pPr>
      <w:r>
        <w:t>sudo apt-get install python-ecl python-numpy python-mat</w:t>
      </w:r>
      <w:r>
        <w:t>plotlib libecl-dev</w:t>
      </w:r>
    </w:p>
    <w:p w:rsidR="00C349BD" w:rsidRDefault="00332052">
      <w:pPr>
        <w:pStyle w:val="a4"/>
      </w:pPr>
      <w:r>
        <w:t>Then, we can plot the well curves with the following command:</w:t>
      </w:r>
    </w:p>
    <w:p w:rsidR="00C349BD" w:rsidRDefault="00332052">
      <w:pPr>
        <w:pStyle w:val="ab"/>
        <w:spacing w:after="283"/>
      </w:pPr>
      <w:r>
        <w:t>python summaryplot WBHP:INJ WBHP:PROD WOPR:PROD WGPR:PROD WGIR:INJ SPE1CASE1.DATA</w:t>
      </w:r>
    </w:p>
    <w:p w:rsidR="00C349BD" w:rsidRDefault="00332052">
      <w:pPr>
        <w:pStyle w:val="a4"/>
      </w:pPr>
      <w:r>
        <w:lastRenderedPageBreak/>
        <w:t>The result can be seen in the figures below. It is worth noting that since the input deck spe</w:t>
      </w:r>
      <w:r>
        <w:t xml:space="preserve">cifies </w:t>
      </w:r>
      <w:r>
        <w:rPr>
          <w:rStyle w:val="a5"/>
        </w:rPr>
        <w:t>FIELD</w:t>
      </w:r>
      <w:r>
        <w:t xml:space="preserve"> units (psi for pressure, etc.), the output produced by </w:t>
      </w:r>
      <w:r>
        <w:rPr>
          <w:rStyle w:val="a5"/>
        </w:rPr>
        <w:t>Flow</w:t>
      </w:r>
      <w:r>
        <w:t xml:space="preserve"> will use that as well.</w:t>
      </w:r>
    </w:p>
    <w:p w:rsidR="00C349BD" w:rsidRDefault="00475847">
      <w:pPr>
        <w:pStyle w:val="a4"/>
      </w:pPr>
      <w:r w:rsidRPr="00475847">
        <w:drawing>
          <wp:inline distT="0" distB="0" distL="0" distR="0">
            <wp:extent cx="5872792" cy="5004997"/>
            <wp:effectExtent l="1905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870080" cy="5002685"/>
                    </a:xfrm>
                    <a:prstGeom prst="rect">
                      <a:avLst/>
                    </a:prstGeom>
                    <a:noFill/>
                    <a:ln w="9525">
                      <a:noFill/>
                      <a:miter lim="800000"/>
                      <a:headEnd/>
                      <a:tailEnd/>
                    </a:ln>
                  </pic:spPr>
                </pic:pic>
              </a:graphicData>
            </a:graphic>
          </wp:inline>
        </w:drawing>
      </w:r>
    </w:p>
    <w:p w:rsidR="00C349BD" w:rsidRDefault="00C349BD">
      <w:pPr>
        <w:rPr>
          <w:rFonts w:eastAsiaTheme="minorEastAsia" w:hint="eastAsia"/>
        </w:rPr>
      </w:pPr>
    </w:p>
    <w:p w:rsidR="00475847" w:rsidRPr="00475847" w:rsidRDefault="00475847">
      <w:pPr>
        <w:rPr>
          <w:rFonts w:eastAsiaTheme="minorEastAsia" w:hint="eastAsia"/>
        </w:rPr>
        <w:sectPr w:rsidR="00475847" w:rsidRPr="00475847">
          <w:type w:val="continuous"/>
          <w:pgSz w:w="11906" w:h="16838"/>
          <w:pgMar w:top="1134" w:right="1134" w:bottom="1134" w:left="1134" w:header="0" w:footer="0" w:gutter="0"/>
          <w:cols w:space="720"/>
          <w:formProt w:val="0"/>
        </w:sectPr>
      </w:pPr>
    </w:p>
    <w:p w:rsidR="00475847" w:rsidRDefault="00475847" w:rsidP="00475847">
      <w:pPr>
        <w:rPr>
          <w:rFonts w:eastAsiaTheme="minorEastAsia" w:hint="eastAsia"/>
        </w:rPr>
      </w:pPr>
    </w:p>
    <w:p w:rsidR="00475847" w:rsidRDefault="00475847" w:rsidP="00475847">
      <w:pPr>
        <w:rPr>
          <w:rFonts w:eastAsiaTheme="minorEastAsia" w:hint="eastAsia"/>
        </w:rPr>
      </w:pPr>
    </w:p>
    <w:p w:rsidR="00475847" w:rsidRDefault="00475847" w:rsidP="00475847">
      <w:pPr>
        <w:rPr>
          <w:rFonts w:eastAsiaTheme="minorEastAsia" w:hint="eastAsia"/>
        </w:rPr>
      </w:pPr>
    </w:p>
    <w:p w:rsidR="00475847" w:rsidRDefault="00475847" w:rsidP="00475847">
      <w:pPr>
        <w:rPr>
          <w:rFonts w:eastAsiaTheme="minorEastAsia" w:hint="eastAsia"/>
        </w:rPr>
      </w:pPr>
    </w:p>
    <w:p w:rsidR="00475847" w:rsidRDefault="00475847" w:rsidP="00475847">
      <w:pPr>
        <w:rPr>
          <w:rFonts w:eastAsiaTheme="minorEastAsia" w:hint="eastAsia"/>
        </w:rPr>
      </w:pPr>
    </w:p>
    <w:p w:rsidR="00475847" w:rsidRDefault="00475847" w:rsidP="00475847">
      <w:pPr>
        <w:rPr>
          <w:rFonts w:eastAsiaTheme="minorEastAsia" w:hint="eastAsia"/>
        </w:rPr>
      </w:pPr>
    </w:p>
    <w:p w:rsidR="00475847" w:rsidRDefault="00475847" w:rsidP="00475847">
      <w:pPr>
        <w:rPr>
          <w:rFonts w:eastAsiaTheme="minorEastAsia" w:hint="eastAsia"/>
        </w:rPr>
      </w:pPr>
    </w:p>
    <w:p w:rsidR="00475847" w:rsidRDefault="00475847" w:rsidP="00475847">
      <w:pPr>
        <w:rPr>
          <w:rFonts w:eastAsiaTheme="minorEastAsia" w:hint="eastAsia"/>
        </w:rPr>
      </w:pPr>
    </w:p>
    <w:p w:rsidR="00475847" w:rsidRDefault="00475847" w:rsidP="00475847">
      <w:pPr>
        <w:rPr>
          <w:rFonts w:eastAsiaTheme="minorEastAsia" w:hint="eastAsia"/>
        </w:rPr>
      </w:pPr>
    </w:p>
    <w:p w:rsidR="002F02F6" w:rsidRDefault="002F02F6" w:rsidP="00475847">
      <w:pPr>
        <w:rPr>
          <w:rFonts w:eastAsiaTheme="minorEastAsia" w:hint="eastAsia"/>
        </w:rPr>
      </w:pPr>
    </w:p>
    <w:p w:rsidR="002F02F6" w:rsidRDefault="002F02F6" w:rsidP="00475847">
      <w:pPr>
        <w:rPr>
          <w:rFonts w:eastAsiaTheme="minorEastAsia" w:hint="eastAsia"/>
        </w:rPr>
      </w:pPr>
    </w:p>
    <w:p w:rsidR="00475847" w:rsidRDefault="00475847" w:rsidP="00475847">
      <w:pPr>
        <w:rPr>
          <w:rFonts w:eastAsiaTheme="minorEastAsia" w:hint="eastAsia"/>
        </w:rPr>
      </w:pPr>
    </w:p>
    <w:p w:rsidR="00475847" w:rsidRDefault="00475847" w:rsidP="00475847">
      <w:pPr>
        <w:rPr>
          <w:rFonts w:eastAsiaTheme="minorEastAsia" w:hint="eastAsia"/>
        </w:rPr>
      </w:pPr>
    </w:p>
    <w:p w:rsidR="00475847" w:rsidRDefault="00475847" w:rsidP="00475847">
      <w:pPr>
        <w:rPr>
          <w:rFonts w:eastAsiaTheme="minorEastAsia" w:hint="eastAsia"/>
        </w:rPr>
      </w:pPr>
    </w:p>
    <w:p w:rsidR="00475847" w:rsidRDefault="00475847" w:rsidP="00475847">
      <w:pPr>
        <w:rPr>
          <w:rFonts w:eastAsiaTheme="minorEastAsia" w:hint="eastAsia"/>
        </w:rPr>
      </w:pPr>
    </w:p>
    <w:p w:rsidR="00475847" w:rsidRDefault="00475847" w:rsidP="00475847">
      <w:pPr>
        <w:rPr>
          <w:rFonts w:eastAsiaTheme="minorEastAsia" w:hint="eastAsia"/>
        </w:rPr>
      </w:pPr>
    </w:p>
    <w:p w:rsidR="00C60255" w:rsidRDefault="00C60255" w:rsidP="00475847">
      <w:pPr>
        <w:rPr>
          <w:rFonts w:eastAsiaTheme="minorEastAsia" w:hint="eastAsia"/>
        </w:rPr>
      </w:pPr>
    </w:p>
    <w:p w:rsidR="00C60255" w:rsidRPr="00475847" w:rsidRDefault="00C60255" w:rsidP="00475847">
      <w:pPr>
        <w:rPr>
          <w:rFonts w:eastAsiaTheme="minorEastAsia" w:hint="eastAsia"/>
        </w:rPr>
      </w:pPr>
    </w:p>
    <w:p w:rsidR="00C349BD" w:rsidRDefault="00332052">
      <w:pPr>
        <w:pStyle w:val="Heading1"/>
      </w:pPr>
      <w:r>
        <w:lastRenderedPageBreak/>
        <w:t>Running the Norne case with Flow</w:t>
      </w:r>
    </w:p>
    <w:p w:rsidR="00C349BD" w:rsidRDefault="00332052">
      <w:pPr>
        <w:pStyle w:val="a4"/>
      </w:pPr>
      <w:r>
        <w:t xml:space="preserve">This tutorial will guide you through running and visualizing the Norne case, which </w:t>
      </w:r>
      <w:r>
        <w:t>is an open benchmark case of a real Norwegian Sea oilfield. It will also demonstrate how to run Flow in parallel, take a look at some available run-time parameters, and discuss the logging facilities of Flow.</w:t>
      </w:r>
    </w:p>
    <w:p w:rsidR="00C349BD" w:rsidRDefault="00332052">
      <w:pPr>
        <w:pStyle w:val="a4"/>
      </w:pPr>
      <w:r>
        <w:t xml:space="preserve">The tutorial assumes that you have already </w:t>
      </w:r>
      <w:hyperlink r:id="rId18">
        <w:r>
          <w:rPr>
            <w:rStyle w:val="Internet"/>
          </w:rPr>
          <w:t>built or installed</w:t>
        </w:r>
      </w:hyperlink>
      <w:r>
        <w:t xml:space="preserve"> OPM and Flow in particular, and have run through the </w:t>
      </w:r>
      <w:hyperlink r:id="rId19">
        <w:r>
          <w:rPr>
            <w:rStyle w:val="Internet"/>
          </w:rPr>
          <w:t>first tutorial</w:t>
        </w:r>
      </w:hyperlink>
      <w:r>
        <w:t>.</w:t>
      </w:r>
    </w:p>
    <w:p w:rsidR="00C349BD" w:rsidRDefault="00332052">
      <w:pPr>
        <w:pStyle w:val="a4"/>
      </w:pPr>
      <w:r>
        <w:t xml:space="preserve">To follow the visualization parts, you must have </w:t>
      </w:r>
      <w:hyperlink r:id="rId20">
        <w:r>
          <w:rPr>
            <w:rStyle w:val="Internet"/>
          </w:rPr>
          <w:t>ResInsight</w:t>
        </w:r>
      </w:hyperlink>
      <w:r>
        <w:t xml:space="preserve"> installed.</w:t>
      </w:r>
    </w:p>
    <w:p w:rsidR="00C349BD" w:rsidRDefault="00332052">
      <w:pPr>
        <w:pStyle w:val="Heading3"/>
      </w:pPr>
      <w:r>
        <w:t>Running the Norne case</w:t>
      </w:r>
    </w:p>
    <w:p w:rsidR="00C349BD" w:rsidRDefault="00332052">
      <w:pPr>
        <w:pStyle w:val="a4"/>
      </w:pPr>
      <w:r>
        <w:t xml:space="preserve">After the first tutorial, you should have a copy of the latest master branch of the opm-data repository. If you followed </w:t>
      </w:r>
      <w:hyperlink r:id="rId21">
        <w:r>
          <w:rPr>
            <w:rStyle w:val="Internet"/>
          </w:rPr>
          <w:t>the instructions in that tutorial</w:t>
        </w:r>
      </w:hyperlink>
      <w:r>
        <w:t xml:space="preserve"> it will be named “opm-data-master”. Go to the Norne case by entering its directory:</w:t>
      </w:r>
    </w:p>
    <w:p w:rsidR="00C349BD" w:rsidRDefault="00332052">
      <w:pPr>
        <w:pStyle w:val="ab"/>
        <w:spacing w:after="283"/>
      </w:pPr>
      <w:r>
        <w:t>cd opm-data-master/norne</w:t>
      </w:r>
    </w:p>
    <w:p w:rsidR="00C349BD" w:rsidRDefault="00332052">
      <w:pPr>
        <w:pStyle w:val="a4"/>
      </w:pPr>
      <w:r>
        <w:t>From here you could start a Norne run immediately by entering the following command:</w:t>
      </w:r>
    </w:p>
    <w:p w:rsidR="00C349BD" w:rsidRDefault="00332052">
      <w:pPr>
        <w:pStyle w:val="ab"/>
        <w:spacing w:after="283"/>
      </w:pPr>
      <w:r>
        <w:t xml:space="preserve">flow </w:t>
      </w:r>
      <w:r>
        <w:t>NORNE_ATW2013.DATA --output-dir=out_serial</w:t>
      </w:r>
    </w:p>
    <w:p w:rsidR="00C349BD" w:rsidRDefault="00332052">
      <w:pPr>
        <w:pStyle w:val="a4"/>
      </w:pPr>
      <w:r>
        <w:t>Note that there should be no spaces between the parameter key (“output_dir”) and the associated value. It is quite possible to leave out the “output_dir” parameter, that way all your output files will end up in th</w:t>
      </w:r>
      <w:r>
        <w:t>e current directory. If, instead, you choose to use the parameter all output files will end up in the directory you name (and the directory will be created), “out_serial” in the example.</w:t>
      </w:r>
    </w:p>
    <w:p w:rsidR="00C349BD" w:rsidRDefault="00332052">
      <w:pPr>
        <w:pStyle w:val="a4"/>
      </w:pPr>
      <w:r>
        <w:t xml:space="preserve">Running the case will take some time, depending on the speed of your </w:t>
      </w:r>
      <w:r>
        <w:t>computer. Expect around half an hour on reasonably modern computers.</w:t>
      </w:r>
    </w:p>
    <w:p w:rsidR="00C349BD" w:rsidRDefault="00332052">
      <w:pPr>
        <w:pStyle w:val="a4"/>
      </w:pPr>
      <w:r>
        <w:t>Next, we will take a look at the output being produced by the simulator.</w:t>
      </w:r>
    </w:p>
    <w:p w:rsidR="00C349BD" w:rsidRDefault="00332052">
      <w:pPr>
        <w:pStyle w:val="Heading3"/>
      </w:pPr>
      <w:r>
        <w:t>Simulator log output</w:t>
      </w:r>
    </w:p>
    <w:p w:rsidR="00C349BD" w:rsidRDefault="00332052">
      <w:pPr>
        <w:pStyle w:val="a4"/>
      </w:pPr>
      <w:r>
        <w:t>The Flow simulator produces several logs:</w:t>
      </w:r>
    </w:p>
    <w:p w:rsidR="00C349BD" w:rsidRDefault="00332052">
      <w:pPr>
        <w:pStyle w:val="a4"/>
        <w:numPr>
          <w:ilvl w:val="0"/>
          <w:numId w:val="2"/>
        </w:numPr>
        <w:tabs>
          <w:tab w:val="left" w:pos="707"/>
        </w:tabs>
        <w:spacing w:after="0"/>
      </w:pPr>
      <w:r>
        <w:t xml:space="preserve">Terminal output </w:t>
      </w:r>
    </w:p>
    <w:p w:rsidR="00C349BD" w:rsidRDefault="00332052">
      <w:pPr>
        <w:pStyle w:val="a4"/>
        <w:numPr>
          <w:ilvl w:val="0"/>
          <w:numId w:val="2"/>
        </w:numPr>
        <w:tabs>
          <w:tab w:val="left" w:pos="707"/>
        </w:tabs>
        <w:spacing w:after="0"/>
      </w:pPr>
      <w:r>
        <w:t xml:space="preserve">The PRT file </w:t>
      </w:r>
    </w:p>
    <w:p w:rsidR="00C349BD" w:rsidRDefault="00332052">
      <w:pPr>
        <w:pStyle w:val="a4"/>
        <w:numPr>
          <w:ilvl w:val="0"/>
          <w:numId w:val="2"/>
        </w:numPr>
        <w:tabs>
          <w:tab w:val="left" w:pos="707"/>
        </w:tabs>
      </w:pPr>
      <w:r>
        <w:t xml:space="preserve">The DBG file </w:t>
      </w:r>
    </w:p>
    <w:p w:rsidR="00C349BD" w:rsidRDefault="00332052">
      <w:pPr>
        <w:pStyle w:val="Heading5"/>
      </w:pPr>
      <w:r>
        <w:t>Termin</w:t>
      </w:r>
      <w:r>
        <w:t>al output</w:t>
      </w:r>
    </w:p>
    <w:p w:rsidR="00C349BD" w:rsidRDefault="00332052">
      <w:pPr>
        <w:pStyle w:val="a4"/>
      </w:pPr>
      <w:r>
        <w:t>The most important messages are written to the terminal. This includes warning and error messages, timesteps and timestep summaries. Warnings are printed in blue, errors in red, and numerical problems (typically leading to timestep chopping) in p</w:t>
      </w:r>
      <w:r>
        <w:t>ink.</w:t>
      </w:r>
    </w:p>
    <w:p w:rsidR="00C349BD" w:rsidRDefault="00332052">
      <w:pPr>
        <w:pStyle w:val="a4"/>
      </w:pPr>
      <w:r>
        <w:t>By default, the terminal is limited to displaying a certain number of messages of the same type (note, warning, problem, error etc.), so after displaying a large number of warnings for example it will cease reporting them. Similarly, it will stop repe</w:t>
      </w:r>
      <w:r>
        <w:t>ating similar messages (technical detail: messages with the same “tag”) after 10 such messages have been displayed. For example, you can see that after report step 4, Flow prints the message: “Warning: Message limit reached for message tag: Unhandled outpu</w:t>
      </w:r>
      <w:r>
        <w:t>t keyword”.</w:t>
      </w:r>
    </w:p>
    <w:p w:rsidR="00C349BD" w:rsidRDefault="00332052">
      <w:pPr>
        <w:pStyle w:val="a4"/>
      </w:pPr>
      <w:r>
        <w:lastRenderedPageBreak/>
        <w:t>Other than the time steps, the most interesting messages printed to the terminal are the well-control messages printed when wells are switched from one control setting to another due to breaking one or more constraints, and numerical problems e</w:t>
      </w:r>
      <w:r>
        <w:t>ncountered. If Flow fails to solve the current timestep for any reason it will retry with a smaller step size. That will be reported like this:</w:t>
      </w:r>
    </w:p>
    <w:p w:rsidR="00C349BD" w:rsidRDefault="00332052">
      <w:pPr>
        <w:pStyle w:val="ab"/>
      </w:pPr>
      <w:r>
        <w:t>Problem: Solver convergence failure - Iteration limit reached</w:t>
      </w:r>
    </w:p>
    <w:p w:rsidR="00C349BD" w:rsidRDefault="00332052">
      <w:pPr>
        <w:pStyle w:val="ab"/>
        <w:spacing w:after="283"/>
      </w:pPr>
      <w:r>
        <w:t>Timestep chopped to 3.630000 days</w:t>
      </w:r>
    </w:p>
    <w:p w:rsidR="00C349BD" w:rsidRDefault="00332052">
      <w:pPr>
        <w:pStyle w:val="Heading5"/>
      </w:pPr>
      <w:r>
        <w:t>The PRT log (NOR</w:t>
      </w:r>
      <w:r>
        <w:t>NE_ATW2013.PRT)</w:t>
      </w:r>
    </w:p>
    <w:p w:rsidR="00C349BD" w:rsidRDefault="00332052">
      <w:pPr>
        <w:pStyle w:val="a4"/>
      </w:pPr>
      <w:r>
        <w:t>The PRT log file contains a lot more than is printed to the terminal.</w:t>
      </w:r>
    </w:p>
    <w:p w:rsidR="00C349BD" w:rsidRDefault="00332052">
      <w:pPr>
        <w:pStyle w:val="a4"/>
      </w:pPr>
      <w:r>
        <w:t>First, there are no message limits, so warnings that are eventually silenced in the terminal output, will remains as warnings here.</w:t>
      </w:r>
    </w:p>
    <w:p w:rsidR="00C349BD" w:rsidRDefault="00332052">
      <w:pPr>
        <w:pStyle w:val="a4"/>
      </w:pPr>
      <w:r>
        <w:t>Second, the log is a bit more verbose.</w:t>
      </w:r>
      <w:r>
        <w:t xml:space="preserve"> Initially, an overview of all command-line options used is printed. Also, fluid-in-place reports are printed for all fluid-in-place region after every time-step.</w:t>
      </w:r>
    </w:p>
    <w:p w:rsidR="00C349BD" w:rsidRDefault="00332052">
      <w:pPr>
        <w:pStyle w:val="Heading5"/>
      </w:pPr>
      <w:r>
        <w:t>The DBG log (NORNE_ATW2013.DBG)</w:t>
      </w:r>
    </w:p>
    <w:p w:rsidR="00C349BD" w:rsidRDefault="00332052">
      <w:pPr>
        <w:pStyle w:val="a4"/>
      </w:pPr>
      <w:r>
        <w:t>The main difference between this and the PRT log is that this</w:t>
      </w:r>
      <w:r>
        <w:t xml:space="preserve"> will contain absolutely all messages, including debug messages. In particular, the residuals are printed after every iteration, making it possible to follow the Newton-like nonlinear iteration process. This makes it useful to developers, less so for regul</w:t>
      </w:r>
      <w:r>
        <w:t>ar users. If you have a problem however, this log can be valuable in diagnosing your issue.</w:t>
      </w:r>
    </w:p>
    <w:p w:rsidR="00C349BD" w:rsidRDefault="00332052">
      <w:pPr>
        <w:pStyle w:val="Heading3"/>
      </w:pPr>
      <w:r>
        <w:t>Summary output</w:t>
      </w:r>
    </w:p>
    <w:p w:rsidR="00C349BD" w:rsidRDefault="00332052">
      <w:pPr>
        <w:pStyle w:val="a4"/>
      </w:pPr>
      <w:r>
        <w:t>One of the main outputs from the simulator is the summary file (NORNE_ATW2013.UNSMRY), the ending UNSMRY means it is a unified summary file, i.e. con</w:t>
      </w:r>
      <w:r>
        <w:t>taining data for all time-steps in a single unified file.</w:t>
      </w:r>
    </w:p>
    <w:p w:rsidR="00C349BD" w:rsidRDefault="00332052">
      <w:pPr>
        <w:pStyle w:val="a4"/>
      </w:pPr>
      <w:r>
        <w:t>In this file you will typically find data that are likely to be useful to plot as a function of time, such as well rates, bottom hole pressures or fluid-in-place quantities. Flow allows the input de</w:t>
      </w:r>
      <w:r>
        <w:t xml:space="preserve">ck to configure what should be written to the summary file. To look at the summary you may use the </w:t>
      </w:r>
      <w:r>
        <w:rPr>
          <w:rStyle w:val="a7"/>
        </w:rPr>
        <w:t>ecl_summary</w:t>
      </w:r>
      <w:r>
        <w:t xml:space="preserve"> tool as was </w:t>
      </w:r>
      <w:hyperlink r:id="rId22">
        <w:r>
          <w:rPr>
            <w:rStyle w:val="Internet"/>
          </w:rPr>
          <w:t>explained in the first tutorial</w:t>
        </w:r>
      </w:hyperlink>
      <w:r>
        <w:t> (also you can use the </w:t>
      </w:r>
      <w:r>
        <w:rPr>
          <w:rStyle w:val="a7"/>
        </w:rPr>
        <w:t>summaryplot</w:t>
      </w:r>
      <w:r>
        <w:t xml:space="preserve"> tool to</w:t>
      </w:r>
      <w:r>
        <w:t xml:space="preserve"> visualize well curves as explained there):</w:t>
      </w:r>
    </w:p>
    <w:p w:rsidR="00C349BD" w:rsidRDefault="00332052">
      <w:pPr>
        <w:pStyle w:val="ab"/>
      </w:pPr>
      <w:r>
        <w:t>cd out_serial</w:t>
      </w:r>
    </w:p>
    <w:p w:rsidR="00C349BD" w:rsidRDefault="00332052">
      <w:pPr>
        <w:pStyle w:val="ab"/>
        <w:spacing w:after="283"/>
      </w:pPr>
      <w:r>
        <w:t>ecl_summary --list NORNE_ATW2013</w:t>
      </w:r>
    </w:p>
    <w:p w:rsidR="00C349BD" w:rsidRDefault="00332052">
      <w:pPr>
        <w:pStyle w:val="a4"/>
      </w:pPr>
      <w:r>
        <w:t>This will give a huge list of keywords corresponding to quantities written to the summary. Some of the more important ideas to get from this are:</w:t>
      </w:r>
    </w:p>
    <w:p w:rsidR="00C349BD" w:rsidRDefault="00332052">
      <w:pPr>
        <w:pStyle w:val="a4"/>
        <w:numPr>
          <w:ilvl w:val="0"/>
          <w:numId w:val="3"/>
        </w:numPr>
        <w:tabs>
          <w:tab w:val="left" w:pos="707"/>
        </w:tabs>
        <w:spacing w:after="0"/>
      </w:pPr>
      <w:r>
        <w:t>Keywords start with</w:t>
      </w:r>
      <w:r>
        <w:t xml:space="preserve"> a letter signifying its scope: C for completion (well perforation), F for field, G for group (of wells), R for region and W for wells. </w:t>
      </w:r>
    </w:p>
    <w:p w:rsidR="00C349BD" w:rsidRDefault="00332052">
      <w:pPr>
        <w:pStyle w:val="a4"/>
        <w:numPr>
          <w:ilvl w:val="0"/>
          <w:numId w:val="3"/>
        </w:numPr>
        <w:tabs>
          <w:tab w:val="left" w:pos="707"/>
        </w:tabs>
        <w:spacing w:after="0"/>
      </w:pPr>
      <w:r>
        <w:t>The rest of the keyword identifies the quantity, some examples (note that some of the concepts such as oil production r</w:t>
      </w:r>
      <w:r>
        <w:t xml:space="preserve">ate makes sense and can be used with several of the scopes): </w:t>
      </w:r>
    </w:p>
    <w:p w:rsidR="00C349BD" w:rsidRDefault="00332052">
      <w:pPr>
        <w:pStyle w:val="a4"/>
        <w:numPr>
          <w:ilvl w:val="1"/>
          <w:numId w:val="3"/>
        </w:numPr>
        <w:tabs>
          <w:tab w:val="left" w:pos="1414"/>
        </w:tabs>
        <w:spacing w:after="0"/>
      </w:pPr>
      <w:r>
        <w:t xml:space="preserve">Well keywords (W): BHP for bottom hole pressures, GOR for gas-oil ratio, OPR for oil production rate, WIR for water injection rate. </w:t>
      </w:r>
    </w:p>
    <w:p w:rsidR="00C349BD" w:rsidRDefault="00332052">
      <w:pPr>
        <w:pStyle w:val="a4"/>
        <w:numPr>
          <w:ilvl w:val="1"/>
          <w:numId w:val="3"/>
        </w:numPr>
        <w:tabs>
          <w:tab w:val="left" w:pos="1414"/>
        </w:tabs>
        <w:spacing w:after="0"/>
      </w:pPr>
      <w:r>
        <w:t xml:space="preserve">Region keywords (R): OIP for oil in place, GIPL for gas in place in the liquid phase (dissolved in it). </w:t>
      </w:r>
    </w:p>
    <w:p w:rsidR="00C349BD" w:rsidRDefault="00332052">
      <w:pPr>
        <w:pStyle w:val="a4"/>
        <w:numPr>
          <w:ilvl w:val="0"/>
          <w:numId w:val="3"/>
        </w:numPr>
        <w:tabs>
          <w:tab w:val="left" w:pos="707"/>
        </w:tabs>
      </w:pPr>
      <w:r>
        <w:t>The string after the colon (if any) is the name of the well or group, the region number, or (for completion data) the well name and completion location</w:t>
      </w:r>
      <w:r>
        <w:t xml:space="preserve">. </w:t>
      </w:r>
    </w:p>
    <w:p w:rsidR="00C349BD" w:rsidRDefault="00332052">
      <w:pPr>
        <w:pStyle w:val="a4"/>
      </w:pPr>
      <w:r>
        <w:lastRenderedPageBreak/>
        <w:t>To get a particular quantity, for example the bottom hole pressure of the well C-4H, issue the command</w:t>
      </w:r>
    </w:p>
    <w:p w:rsidR="00C349BD" w:rsidRDefault="00332052">
      <w:pPr>
        <w:pStyle w:val="ab"/>
        <w:spacing w:after="283"/>
      </w:pPr>
      <w:r>
        <w:t>ecl_summary NORNE_ATW2013 WBHP:C-4H</w:t>
      </w:r>
    </w:p>
    <w:p w:rsidR="00C349BD" w:rsidRDefault="00332052">
      <w:pPr>
        <w:pStyle w:val="a4"/>
      </w:pPr>
      <w:r>
        <w:t>Note that when the well is closed, the BHP is reported as zero.</w:t>
      </w:r>
    </w:p>
    <w:p w:rsidR="00C349BD" w:rsidRDefault="00332052">
      <w:pPr>
        <w:pStyle w:val="a4"/>
      </w:pPr>
      <w:r>
        <w:t>The units used in all summary (and restart) output</w:t>
      </w:r>
      <w:r>
        <w:t xml:space="preserve"> files correspond to the unit family chosen in the input deck. For Norne, METRIC units are used, and so the BHP output is in bars, rates are in cubic meters per day etc. When FIELD units are used, BHP output will be in psi, rates in barrels per day for oil</w:t>
      </w:r>
      <w:r>
        <w:t xml:space="preserve"> and water or 1000 cubic feet per day (yes, really!) for gas etc.</w:t>
      </w:r>
    </w:p>
    <w:p w:rsidR="00C349BD" w:rsidRDefault="00C349BD">
      <w:pPr>
        <w:pStyle w:val="a4"/>
      </w:pPr>
    </w:p>
    <w:p w:rsidR="00C349BD" w:rsidRDefault="00332052">
      <w:pPr>
        <w:pStyle w:val="Heading3"/>
      </w:pPr>
      <w:r>
        <w:t>Visualizing summary data with ResInsight</w:t>
      </w:r>
    </w:p>
    <w:p w:rsidR="00C349BD" w:rsidRDefault="00332052">
      <w:pPr>
        <w:pStyle w:val="a4"/>
      </w:pPr>
      <w:r>
        <w:t xml:space="preserve">The ResInsight visualization tool can also display well curves and other summary data interactively. To do this, click the </w:t>
      </w:r>
      <w:r>
        <w:rPr>
          <w:rStyle w:val="a8"/>
        </w:rPr>
        <w:t>Import Summary Case</w:t>
      </w:r>
      <w:r>
        <w:t xml:space="preserve"> but</w:t>
      </w:r>
      <w:r>
        <w:t>ton.</w:t>
      </w:r>
    </w:p>
    <w:p w:rsidR="00C349BD" w:rsidRDefault="00332052">
      <w:pPr>
        <w:pStyle w:val="a4"/>
      </w:pPr>
      <w:r>
        <w:rPr>
          <w:noProof/>
          <w:lang w:bidi="ar-SA"/>
        </w:rPr>
        <w:drawing>
          <wp:inline distT="0" distB="0" distL="0" distR="0">
            <wp:extent cx="6134190" cy="3673056"/>
            <wp:effectExtent l="19050" t="19050" r="18960" b="22644"/>
            <wp:docPr id="5" name="图像5">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5">
                      <a:hlinkClick r:id="rId23"/>
                    </pic:cNvPr>
                    <pic:cNvPicPr>
                      <a:picLocks noChangeAspect="1" noChangeArrowheads="1"/>
                    </pic:cNvPicPr>
                  </pic:nvPicPr>
                  <pic:blipFill>
                    <a:blip r:embed="rId24"/>
                    <a:stretch>
                      <a:fillRect/>
                    </a:stretch>
                  </pic:blipFill>
                  <pic:spPr bwMode="auto">
                    <a:xfrm>
                      <a:off x="0" y="0"/>
                      <a:ext cx="6135678" cy="3673947"/>
                    </a:xfrm>
                    <a:prstGeom prst="rect">
                      <a:avLst/>
                    </a:prstGeom>
                    <a:ln w="9525">
                      <a:solidFill>
                        <a:srgbClr val="000080"/>
                      </a:solidFill>
                    </a:ln>
                  </pic:spPr>
                </pic:pic>
              </a:graphicData>
            </a:graphic>
          </wp:inline>
        </w:drawing>
      </w:r>
    </w:p>
    <w:p w:rsidR="00C349BD" w:rsidRDefault="00332052">
      <w:pPr>
        <w:pStyle w:val="a4"/>
      </w:pPr>
      <w:r>
        <w:t>Navigate to the output directory and choose the SMSPEC file.</w:t>
      </w:r>
    </w:p>
    <w:p w:rsidR="00C349BD" w:rsidRDefault="00332052">
      <w:pPr>
        <w:pStyle w:val="a4"/>
      </w:pPr>
      <w:r>
        <w:rPr>
          <w:noProof/>
          <w:lang w:bidi="ar-SA"/>
        </w:rPr>
        <w:lastRenderedPageBreak/>
        <w:drawing>
          <wp:inline distT="0" distB="0" distL="0" distR="0">
            <wp:extent cx="6079643" cy="3638550"/>
            <wp:effectExtent l="19050" t="19050" r="16357" b="19050"/>
            <wp:docPr id="6" name="图像6">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6">
                      <a:hlinkClick r:id="rId25"/>
                    </pic:cNvPr>
                    <pic:cNvPicPr>
                      <a:picLocks noChangeAspect="1" noChangeArrowheads="1"/>
                    </pic:cNvPicPr>
                  </pic:nvPicPr>
                  <pic:blipFill>
                    <a:blip r:embed="rId26"/>
                    <a:stretch>
                      <a:fillRect/>
                    </a:stretch>
                  </pic:blipFill>
                  <pic:spPr bwMode="auto">
                    <a:xfrm>
                      <a:off x="0" y="0"/>
                      <a:ext cx="6085392" cy="3641990"/>
                    </a:xfrm>
                    <a:prstGeom prst="rect">
                      <a:avLst/>
                    </a:prstGeom>
                    <a:ln w="9525">
                      <a:solidFill>
                        <a:srgbClr val="000080"/>
                      </a:solidFill>
                    </a:ln>
                  </pic:spPr>
                </pic:pic>
              </a:graphicData>
            </a:graphic>
          </wp:inline>
        </w:drawing>
      </w:r>
    </w:p>
    <w:p w:rsidR="00C349BD" w:rsidRDefault="00332052">
      <w:pPr>
        <w:pStyle w:val="a4"/>
      </w:pPr>
      <w:r>
        <w:t xml:space="preserve">By default, field production rates for gas, oil, water and liquid (oil + water) are </w:t>
      </w:r>
      <w:r w:rsidR="00B97C7A">
        <w:t>shown. The gas production curve</w:t>
      </w:r>
      <w:r w:rsidR="00B97C7A">
        <w:rPr>
          <w:rFonts w:eastAsiaTheme="minorEastAsia" w:hint="eastAsia"/>
        </w:rPr>
        <w:t xml:space="preserve"> </w:t>
      </w:r>
      <w:r>
        <w:t>dominates the others in this case, as should be expected since it is a</w:t>
      </w:r>
      <w:r>
        <w:t xml:space="preserve"> case using METRIC and rates are therefore shown in cubic meters per day.</w:t>
      </w:r>
    </w:p>
    <w:p w:rsidR="00C349BD" w:rsidRDefault="00332052">
      <w:pPr>
        <w:pStyle w:val="a4"/>
      </w:pPr>
      <w:r>
        <w:rPr>
          <w:noProof/>
          <w:lang w:bidi="ar-SA"/>
        </w:rPr>
        <w:drawing>
          <wp:inline distT="0" distB="0" distL="0" distR="0">
            <wp:extent cx="6140211" cy="3610607"/>
            <wp:effectExtent l="19050" t="19050" r="12939" b="27943"/>
            <wp:docPr id="7" name="图像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7">
                      <a:hlinkClick r:id="rId27"/>
                    </pic:cNvPr>
                    <pic:cNvPicPr>
                      <a:picLocks noChangeAspect="1" noChangeArrowheads="1"/>
                    </pic:cNvPicPr>
                  </pic:nvPicPr>
                  <pic:blipFill>
                    <a:blip r:embed="rId28"/>
                    <a:stretch>
                      <a:fillRect/>
                    </a:stretch>
                  </pic:blipFill>
                  <pic:spPr bwMode="auto">
                    <a:xfrm>
                      <a:off x="0" y="0"/>
                      <a:ext cx="6150901" cy="3616893"/>
                    </a:xfrm>
                    <a:prstGeom prst="rect">
                      <a:avLst/>
                    </a:prstGeom>
                    <a:ln w="9525">
                      <a:solidFill>
                        <a:srgbClr val="000080"/>
                      </a:solidFill>
                    </a:ln>
                  </pic:spPr>
                </pic:pic>
              </a:graphicData>
            </a:graphic>
          </wp:inline>
        </w:drawing>
      </w:r>
    </w:p>
    <w:p w:rsidR="00C349BD" w:rsidRDefault="00332052">
      <w:pPr>
        <w:pStyle w:val="a4"/>
      </w:pPr>
      <w:r>
        <w:t xml:space="preserve">We’d like to inspect the bottom-hole pressure of the well B-1H. Expand </w:t>
      </w:r>
      <w:r>
        <w:rPr>
          <w:rStyle w:val="a8"/>
        </w:rPr>
        <w:t>Summary plot 1</w:t>
      </w:r>
      <w:r>
        <w:t xml:space="preserve"> in the </w:t>
      </w:r>
      <w:r>
        <w:rPr>
          <w:rStyle w:val="a8"/>
        </w:rPr>
        <w:t>Project Tree</w:t>
      </w:r>
      <w:r>
        <w:t>, delete the production curves and add the well BHP curve as shown below.</w:t>
      </w:r>
    </w:p>
    <w:p w:rsidR="00C349BD" w:rsidRDefault="00332052">
      <w:pPr>
        <w:pStyle w:val="a4"/>
      </w:pPr>
      <w:r>
        <w:rPr>
          <w:noProof/>
          <w:lang w:bidi="ar-SA"/>
        </w:rPr>
        <w:lastRenderedPageBreak/>
        <w:drawing>
          <wp:inline distT="0" distB="0" distL="0" distR="0">
            <wp:extent cx="6026361" cy="3543660"/>
            <wp:effectExtent l="19050" t="19050" r="12489" b="18690"/>
            <wp:docPr id="8" name="图像8">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8">
                      <a:hlinkClick r:id="rId29"/>
                    </pic:cNvPr>
                    <pic:cNvPicPr>
                      <a:picLocks noChangeAspect="1" noChangeArrowheads="1"/>
                    </pic:cNvPicPr>
                  </pic:nvPicPr>
                  <pic:blipFill>
                    <a:blip r:embed="rId30"/>
                    <a:stretch>
                      <a:fillRect/>
                    </a:stretch>
                  </pic:blipFill>
                  <pic:spPr bwMode="auto">
                    <a:xfrm>
                      <a:off x="0" y="0"/>
                      <a:ext cx="6027070" cy="3544077"/>
                    </a:xfrm>
                    <a:prstGeom prst="rect">
                      <a:avLst/>
                    </a:prstGeom>
                    <a:ln w="9525">
                      <a:solidFill>
                        <a:srgbClr val="000080"/>
                      </a:solidFill>
                    </a:ln>
                  </pic:spPr>
                </pic:pic>
              </a:graphicData>
            </a:graphic>
          </wp:inline>
        </w:drawing>
      </w:r>
    </w:p>
    <w:p w:rsidR="00C349BD" w:rsidRDefault="00332052">
      <w:pPr>
        <w:pStyle w:val="a4"/>
      </w:pPr>
      <w:r>
        <w:t>Now we are looking at the BHP curve we wanted to.</w:t>
      </w:r>
    </w:p>
    <w:p w:rsidR="00C349BD" w:rsidRDefault="00332052">
      <w:pPr>
        <w:pStyle w:val="a4"/>
      </w:pPr>
      <w:r>
        <w:rPr>
          <w:noProof/>
          <w:lang w:bidi="ar-SA"/>
        </w:rPr>
        <w:drawing>
          <wp:inline distT="0" distB="0" distL="0" distR="0">
            <wp:extent cx="6058774" cy="3560912"/>
            <wp:effectExtent l="19050" t="19050" r="18176" b="20488"/>
            <wp:docPr id="9" name="图像9">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像9">
                      <a:hlinkClick r:id="rId31"/>
                    </pic:cNvPr>
                    <pic:cNvPicPr>
                      <a:picLocks noChangeAspect="1" noChangeArrowheads="1"/>
                    </pic:cNvPicPr>
                  </pic:nvPicPr>
                  <pic:blipFill>
                    <a:blip r:embed="rId32"/>
                    <a:stretch>
                      <a:fillRect/>
                    </a:stretch>
                  </pic:blipFill>
                  <pic:spPr bwMode="auto">
                    <a:xfrm>
                      <a:off x="0" y="0"/>
                      <a:ext cx="6064173" cy="3564085"/>
                    </a:xfrm>
                    <a:prstGeom prst="rect">
                      <a:avLst/>
                    </a:prstGeom>
                    <a:ln w="9525">
                      <a:solidFill>
                        <a:srgbClr val="000080"/>
                      </a:solidFill>
                    </a:ln>
                  </pic:spPr>
                </pic:pic>
              </a:graphicData>
            </a:graphic>
          </wp:inline>
        </w:drawing>
      </w:r>
    </w:p>
    <w:p w:rsidR="00C349BD" w:rsidRDefault="00332052">
      <w:pPr>
        <w:pStyle w:val="a4"/>
      </w:pPr>
      <w:r>
        <w:t xml:space="preserve">If we want to look at properties for a particular well, or a particular property, we can use a filter. Type the well name C-2H in the </w:t>
      </w:r>
      <w:r>
        <w:rPr>
          <w:rStyle w:val="a8"/>
        </w:rPr>
        <w:t>Well name</w:t>
      </w:r>
      <w:r>
        <w:t xml:space="preserve"> field and the list of choices will be restricted to those r</w:t>
      </w:r>
      <w:r>
        <w:t xml:space="preserve">elevant to that well. Choose </w:t>
      </w:r>
      <w:r>
        <w:rPr>
          <w:rStyle w:val="a8"/>
        </w:rPr>
        <w:t>WBHP:C-2H</w:t>
      </w:r>
      <w:r>
        <w:t xml:space="preserve"> to see its BHP curve.</w:t>
      </w:r>
    </w:p>
    <w:p w:rsidR="00C349BD" w:rsidRDefault="00332052">
      <w:pPr>
        <w:pStyle w:val="a4"/>
      </w:pPr>
      <w:r>
        <w:rPr>
          <w:noProof/>
          <w:lang w:bidi="ar-SA"/>
        </w:rPr>
        <w:lastRenderedPageBreak/>
        <w:drawing>
          <wp:inline distT="0" distB="0" distL="0" distR="0">
            <wp:extent cx="6072314" cy="3568872"/>
            <wp:effectExtent l="19050" t="19050" r="23686" b="12528"/>
            <wp:docPr id="10" name="图像10">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10">
                      <a:hlinkClick r:id="rId33"/>
                    </pic:cNvPr>
                    <pic:cNvPicPr>
                      <a:picLocks noChangeAspect="1" noChangeArrowheads="1"/>
                    </pic:cNvPicPr>
                  </pic:nvPicPr>
                  <pic:blipFill>
                    <a:blip r:embed="rId34"/>
                    <a:stretch>
                      <a:fillRect/>
                    </a:stretch>
                  </pic:blipFill>
                  <pic:spPr bwMode="auto">
                    <a:xfrm>
                      <a:off x="0" y="0"/>
                      <a:ext cx="6076725" cy="3571464"/>
                    </a:xfrm>
                    <a:prstGeom prst="rect">
                      <a:avLst/>
                    </a:prstGeom>
                    <a:ln w="9525">
                      <a:solidFill>
                        <a:srgbClr val="000080"/>
                      </a:solidFill>
                    </a:ln>
                  </pic:spPr>
                </pic:pic>
              </a:graphicData>
            </a:graphic>
          </wp:inline>
        </w:drawing>
      </w:r>
    </w:p>
    <w:p w:rsidR="00C349BD" w:rsidRDefault="00332052">
      <w:pPr>
        <w:pStyle w:val="a4"/>
      </w:pPr>
      <w:r>
        <w:t xml:space="preserve">ResInsight can export these images easily. In the </w:t>
      </w:r>
      <w:r>
        <w:rPr>
          <w:rStyle w:val="a8"/>
        </w:rPr>
        <w:t>Edit</w:t>
      </w:r>
      <w:r>
        <w:t xml:space="preserve"> menu, choose </w:t>
      </w:r>
      <w:r>
        <w:rPr>
          <w:rStyle w:val="a8"/>
        </w:rPr>
        <w:t>Snapshot To File</w:t>
      </w:r>
      <w:r>
        <w:t xml:space="preserve"> to export them to files. You can see a few examples below.</w:t>
      </w:r>
    </w:p>
    <w:p w:rsidR="00C349BD" w:rsidRDefault="00332052">
      <w:pPr>
        <w:pStyle w:val="a4"/>
      </w:pPr>
      <w:r>
        <w:rPr>
          <w:noProof/>
          <w:lang w:bidi="ar-SA"/>
        </w:rPr>
        <w:drawing>
          <wp:inline distT="0" distB="0" distL="0" distR="0">
            <wp:extent cx="6071200" cy="3953684"/>
            <wp:effectExtent l="19050" t="19050" r="24800" b="27766"/>
            <wp:docPr id="11" name="图像1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11">
                      <a:hlinkClick r:id="rId35"/>
                    </pic:cNvPr>
                    <pic:cNvPicPr>
                      <a:picLocks noChangeAspect="1" noChangeArrowheads="1"/>
                    </pic:cNvPicPr>
                  </pic:nvPicPr>
                  <pic:blipFill>
                    <a:blip r:embed="rId36"/>
                    <a:stretch>
                      <a:fillRect/>
                    </a:stretch>
                  </pic:blipFill>
                  <pic:spPr bwMode="auto">
                    <a:xfrm>
                      <a:off x="0" y="0"/>
                      <a:ext cx="6072595" cy="3954592"/>
                    </a:xfrm>
                    <a:prstGeom prst="rect">
                      <a:avLst/>
                    </a:prstGeom>
                    <a:ln w="9525">
                      <a:solidFill>
                        <a:srgbClr val="000080"/>
                      </a:solidFill>
                    </a:ln>
                  </pic:spPr>
                </pic:pic>
              </a:graphicData>
            </a:graphic>
          </wp:inline>
        </w:drawing>
      </w:r>
    </w:p>
    <w:p w:rsidR="00C349BD" w:rsidRDefault="00332052">
      <w:pPr>
        <w:pStyle w:val="a4"/>
      </w:pPr>
      <w:r>
        <w:rPr>
          <w:noProof/>
          <w:lang w:bidi="ar-SA"/>
        </w:rPr>
        <w:lastRenderedPageBreak/>
        <w:drawing>
          <wp:inline distT="0" distB="0" distL="0" distR="0">
            <wp:extent cx="5950430" cy="3875037"/>
            <wp:effectExtent l="19050" t="19050" r="12220" b="11163"/>
            <wp:docPr id="12" name="图像1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12">
                      <a:hlinkClick r:id="rId37"/>
                    </pic:cNvPr>
                    <pic:cNvPicPr>
                      <a:picLocks noChangeAspect="1" noChangeArrowheads="1"/>
                    </pic:cNvPicPr>
                  </pic:nvPicPr>
                  <pic:blipFill>
                    <a:blip r:embed="rId38"/>
                    <a:stretch>
                      <a:fillRect/>
                    </a:stretch>
                  </pic:blipFill>
                  <pic:spPr bwMode="auto">
                    <a:xfrm>
                      <a:off x="0" y="0"/>
                      <a:ext cx="5959240" cy="3880774"/>
                    </a:xfrm>
                    <a:prstGeom prst="rect">
                      <a:avLst/>
                    </a:prstGeom>
                    <a:ln w="9525">
                      <a:solidFill>
                        <a:srgbClr val="000080"/>
                      </a:solidFill>
                    </a:ln>
                  </pic:spPr>
                </pic:pic>
              </a:graphicData>
            </a:graphic>
          </wp:inline>
        </w:drawing>
      </w:r>
    </w:p>
    <w:p w:rsidR="00C349BD" w:rsidRDefault="00332052">
      <w:pPr>
        <w:pStyle w:val="Heading3"/>
      </w:pPr>
      <w:r>
        <w:t>Running Flow in parallel</w:t>
      </w:r>
    </w:p>
    <w:p w:rsidR="00C349BD" w:rsidRDefault="00332052">
      <w:pPr>
        <w:pStyle w:val="a4"/>
      </w:pPr>
      <w:r>
        <w:t>Flow supports runnin</w:t>
      </w:r>
      <w:r>
        <w:t xml:space="preserve">g simulations in parallel using MPI. To use this run Flow with </w:t>
      </w:r>
      <w:r>
        <w:rPr>
          <w:rStyle w:val="a7"/>
        </w:rPr>
        <w:t>mpi_run</w:t>
      </w:r>
      <w:r>
        <w:t>: (note that the next command should be a single line)</w:t>
      </w:r>
    </w:p>
    <w:p w:rsidR="00C349BD" w:rsidRDefault="00332052">
      <w:pPr>
        <w:pStyle w:val="ab"/>
        <w:spacing w:after="283"/>
      </w:pPr>
      <w:r>
        <w:t>mpirun -np 4 flow NORNE_ATW2013.DATA --output-dir=out_parallel</w:t>
      </w:r>
    </w:p>
    <w:p w:rsidR="00C349BD" w:rsidRDefault="00332052">
      <w:pPr>
        <w:pStyle w:val="a4"/>
      </w:pPr>
      <w:r>
        <w:t>The above command runs the simulator with four processes, so you sho</w:t>
      </w:r>
      <w:r>
        <w:t>uld have at least four cores or hardware threads available to gain from this (adjust the parameter to suit your computer). The simulator should then run quite a bit faster (if not 4 times faster). It should be noted that since the input deck format and out</w:t>
      </w:r>
      <w:r>
        <w:t>put file formats are serial in nature, input and output has not been parallelized.</w:t>
      </w:r>
    </w:p>
    <w:p w:rsidR="00C349BD" w:rsidRDefault="00332052">
      <w:pPr>
        <w:pStyle w:val="a4"/>
      </w:pPr>
      <w:r>
        <w:t>The resulting output should be equivalent to the output from the serial run. It will not be identical however, since the linear solver will not behave identically between th</w:t>
      </w:r>
      <w:r>
        <w:t>e serial and parallel runs.</w:t>
      </w:r>
    </w:p>
    <w:p w:rsidR="00C349BD" w:rsidRDefault="00C349BD">
      <w:pPr>
        <w:pStyle w:val="a4"/>
      </w:pPr>
    </w:p>
    <w:sectPr w:rsidR="00C349BD" w:rsidSect="00C349BD">
      <w:type w:val="continuous"/>
      <w:pgSz w:w="11906" w:h="16838"/>
      <w:pgMar w:top="1134" w:right="1134" w:bottom="1134" w:left="1134" w:header="0" w:footer="0" w:gutter="0"/>
      <w:cols w:space="720"/>
      <w:formProt w:val="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Liberation Serif">
    <w:altName w:val="Times New Roman"/>
    <w:charset w:val="01"/>
    <w:family w:val="roman"/>
    <w:pitch w:val="variable"/>
    <w:sig w:usb0="00000000" w:usb1="00000000" w:usb2="00000000" w:usb3="00000000" w:csb0="00000000" w:csb1="00000000"/>
  </w:font>
  <w:font w:name="宋体">
    <w:altName w:val="SimSun"/>
    <w:panose1 w:val="02010600030101010101"/>
    <w:charset w:val="86"/>
    <w:family w:val="auto"/>
    <w:pitch w:val="variable"/>
    <w:sig w:usb0="00000003" w:usb1="288F0000" w:usb2="00000016" w:usb3="00000000" w:csb0="00040001" w:csb1="00000000"/>
  </w:font>
  <w:font w:name="Noto Sans CJK SC">
    <w:altName w:val="Times New Roman"/>
    <w:panose1 w:val="00000000000000000000"/>
    <w:charset w:val="00"/>
    <w:family w:val="roman"/>
    <w:notTrueType/>
    <w:pitch w:val="default"/>
    <w:sig w:usb0="00000000" w:usb1="00000000" w:usb2="00000000" w:usb3="00000000" w:csb0="00000000" w:csb1="00000000"/>
  </w:font>
  <w:font w:name="Noto Serif CJK SC">
    <w:altName w:val="Times New Roman"/>
    <w:panose1 w:val="00000000000000000000"/>
    <w:charset w:val="00"/>
    <w:family w:val="roman"/>
    <w:notTrueType/>
    <w:pitch w:val="default"/>
    <w:sig w:usb0="00000000" w:usb1="00000000" w:usb2="00000000" w:usb3="00000000" w:csb0="00000000" w:csb1="00000000"/>
  </w:font>
  <w:font w:name="Liberation Mono">
    <w:altName w:val="Courier New"/>
    <w:charset w:val="01"/>
    <w:family w:val="modern"/>
    <w:pitch w:val="fixed"/>
    <w:sig w:usb0="00000000" w:usb1="00000000" w:usb2="00000000" w:usb3="00000000" w:csb0="00000000" w:csb1="00000000"/>
  </w:font>
  <w:font w:name="Noto Sans Mono CJK SC">
    <w:altName w:val="Times New Roman"/>
    <w:panose1 w:val="00000000000000000000"/>
    <w:charset w:val="00"/>
    <w:family w:val="roman"/>
    <w:notTrueType/>
    <w:pitch w:val="default"/>
    <w:sig w:usb0="00000000" w:usb1="00000000" w:usb2="00000000" w:usb3="00000000" w:csb0="00000000" w:csb1="00000000"/>
  </w:font>
  <w:font w:name="OpenSymbol">
    <w:altName w:val="Arial Unicode MS"/>
    <w:charset w:val="02"/>
    <w:family w:val="auto"/>
    <w:pitch w:val="default"/>
    <w:sig w:usb0="00000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3400E5"/>
    <w:multiLevelType w:val="multilevel"/>
    <w:tmpl w:val="5AE8FBA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
    <w:nsid w:val="1FDB53A9"/>
    <w:multiLevelType w:val="multilevel"/>
    <w:tmpl w:val="9A50903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nsid w:val="22A70F18"/>
    <w:multiLevelType w:val="multilevel"/>
    <w:tmpl w:val="63D44C3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nsid w:val="65E007A0"/>
    <w:multiLevelType w:val="multilevel"/>
    <w:tmpl w:val="6DD2A09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autoHyphenation/>
  <w:characterSpacingControl w:val="doNotCompress"/>
  <w:compat>
    <w:doNotExpandShiftReturn/>
    <w:useFELayout/>
  </w:compat>
  <w:rsids>
    <w:rsidRoot w:val="00C349BD"/>
    <w:rsid w:val="000204BF"/>
    <w:rsid w:val="002F02F6"/>
    <w:rsid w:val="00332052"/>
    <w:rsid w:val="00475847"/>
    <w:rsid w:val="00565D04"/>
    <w:rsid w:val="00B97C7A"/>
    <w:rsid w:val="00C349BD"/>
    <w:rsid w:val="00C6025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Theme="minorEastAsia" w:hAnsi="Liberation Serif" w:cs="Noto Sans CJK SC"/>
        <w:kern w:val="2"/>
        <w:sz w:val="24"/>
        <w:szCs w:val="24"/>
        <w:lang w:val="en-US"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49BD"/>
    <w:rPr>
      <w:rFonts w:eastAsia="Noto Serif CJK SC"/>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1">
    <w:name w:val="Heading 1"/>
    <w:basedOn w:val="a3"/>
    <w:next w:val="a4"/>
    <w:qFormat/>
    <w:rsid w:val="00C349BD"/>
    <w:pPr>
      <w:outlineLvl w:val="0"/>
    </w:pPr>
    <w:rPr>
      <w:rFonts w:ascii="Liberation Serif" w:eastAsia="Noto Serif CJK SC" w:hAnsi="Liberation Serif"/>
      <w:b/>
      <w:bCs/>
      <w:sz w:val="48"/>
      <w:szCs w:val="48"/>
    </w:rPr>
  </w:style>
  <w:style w:type="paragraph" w:customStyle="1" w:styleId="Heading3">
    <w:name w:val="Heading 3"/>
    <w:basedOn w:val="a3"/>
    <w:next w:val="a4"/>
    <w:qFormat/>
    <w:rsid w:val="00C349BD"/>
    <w:pPr>
      <w:spacing w:before="140"/>
      <w:outlineLvl w:val="2"/>
    </w:pPr>
    <w:rPr>
      <w:rFonts w:ascii="Liberation Serif" w:eastAsia="Noto Serif CJK SC" w:hAnsi="Liberation Serif"/>
      <w:b/>
      <w:bCs/>
    </w:rPr>
  </w:style>
  <w:style w:type="paragraph" w:customStyle="1" w:styleId="Heading5">
    <w:name w:val="Heading 5"/>
    <w:basedOn w:val="a3"/>
    <w:next w:val="a4"/>
    <w:qFormat/>
    <w:rsid w:val="00C349BD"/>
    <w:pPr>
      <w:spacing w:before="120" w:after="60"/>
      <w:outlineLvl w:val="4"/>
    </w:pPr>
    <w:rPr>
      <w:rFonts w:ascii="Liberation Serif" w:eastAsia="Noto Serif CJK SC" w:hAnsi="Liberation Serif"/>
      <w:b/>
      <w:bCs/>
      <w:sz w:val="20"/>
      <w:szCs w:val="20"/>
    </w:rPr>
  </w:style>
  <w:style w:type="character" w:customStyle="1" w:styleId="a5">
    <w:name w:val="源文本"/>
    <w:qFormat/>
    <w:rsid w:val="00C349BD"/>
    <w:rPr>
      <w:rFonts w:ascii="Liberation Mono" w:eastAsia="Noto Sans Mono CJK SC" w:hAnsi="Liberation Mono" w:cs="Liberation Mono"/>
    </w:rPr>
  </w:style>
  <w:style w:type="character" w:customStyle="1" w:styleId="Internet">
    <w:name w:val="Internet 链接"/>
    <w:rsid w:val="00C349BD"/>
    <w:rPr>
      <w:color w:val="000080"/>
      <w:u w:val="single"/>
    </w:rPr>
  </w:style>
  <w:style w:type="character" w:customStyle="1" w:styleId="a6">
    <w:name w:val="项目符号"/>
    <w:qFormat/>
    <w:rsid w:val="00C349BD"/>
    <w:rPr>
      <w:rFonts w:ascii="OpenSymbol" w:eastAsia="OpenSymbol" w:hAnsi="OpenSymbol" w:cs="OpenSymbol"/>
    </w:rPr>
  </w:style>
  <w:style w:type="character" w:customStyle="1" w:styleId="a7">
    <w:name w:val="电传打字"/>
    <w:qFormat/>
    <w:rsid w:val="00C349BD"/>
    <w:rPr>
      <w:rFonts w:ascii="Liberation Mono" w:eastAsia="Noto Sans Mono CJK SC" w:hAnsi="Liberation Mono" w:cs="Liberation Mono"/>
    </w:rPr>
  </w:style>
  <w:style w:type="character" w:styleId="a8">
    <w:name w:val="Emphasis"/>
    <w:qFormat/>
    <w:rsid w:val="00C349BD"/>
    <w:rPr>
      <w:i/>
      <w:iCs/>
    </w:rPr>
  </w:style>
  <w:style w:type="paragraph" w:customStyle="1" w:styleId="a3">
    <w:name w:val="标题样式"/>
    <w:basedOn w:val="a"/>
    <w:next w:val="a4"/>
    <w:qFormat/>
    <w:rsid w:val="00C349BD"/>
    <w:pPr>
      <w:keepNext/>
      <w:spacing w:before="240" w:after="120"/>
    </w:pPr>
    <w:rPr>
      <w:rFonts w:ascii="Liberation Sans" w:eastAsia="Noto Sans CJK SC" w:hAnsi="Liberation Sans"/>
      <w:sz w:val="28"/>
      <w:szCs w:val="28"/>
    </w:rPr>
  </w:style>
  <w:style w:type="paragraph" w:styleId="a4">
    <w:name w:val="Body Text"/>
    <w:basedOn w:val="a"/>
    <w:rsid w:val="00C349BD"/>
    <w:pPr>
      <w:spacing w:after="140" w:line="276" w:lineRule="auto"/>
    </w:pPr>
  </w:style>
  <w:style w:type="paragraph" w:styleId="a9">
    <w:name w:val="List"/>
    <w:basedOn w:val="a4"/>
    <w:rsid w:val="00C349BD"/>
  </w:style>
  <w:style w:type="paragraph" w:customStyle="1" w:styleId="Caption">
    <w:name w:val="Caption"/>
    <w:basedOn w:val="a"/>
    <w:qFormat/>
    <w:rsid w:val="00C349BD"/>
    <w:pPr>
      <w:suppressLineNumbers/>
      <w:spacing w:before="120" w:after="120"/>
    </w:pPr>
    <w:rPr>
      <w:i/>
      <w:iCs/>
    </w:rPr>
  </w:style>
  <w:style w:type="paragraph" w:customStyle="1" w:styleId="aa">
    <w:name w:val="索引"/>
    <w:basedOn w:val="a"/>
    <w:qFormat/>
    <w:rsid w:val="00C349BD"/>
    <w:pPr>
      <w:suppressLineNumbers/>
    </w:pPr>
  </w:style>
  <w:style w:type="paragraph" w:customStyle="1" w:styleId="ab">
    <w:name w:val="预格式化的文本"/>
    <w:basedOn w:val="a"/>
    <w:qFormat/>
    <w:rsid w:val="00C349BD"/>
    <w:rPr>
      <w:rFonts w:ascii="Liberation Mono" w:eastAsia="Noto Sans Mono CJK SC" w:hAnsi="Liberation Mono" w:cs="Liberation Mono"/>
      <w:sz w:val="20"/>
      <w:szCs w:val="20"/>
    </w:rPr>
  </w:style>
  <w:style w:type="paragraph" w:styleId="ac">
    <w:name w:val="Balloon Text"/>
    <w:basedOn w:val="a"/>
    <w:link w:val="Char"/>
    <w:uiPriority w:val="99"/>
    <w:semiHidden/>
    <w:unhideWhenUsed/>
    <w:rsid w:val="00475847"/>
    <w:rPr>
      <w:rFonts w:cs="Mangal"/>
      <w:sz w:val="18"/>
      <w:szCs w:val="16"/>
    </w:rPr>
  </w:style>
  <w:style w:type="character" w:customStyle="1" w:styleId="Char">
    <w:name w:val="批注框文本 Char"/>
    <w:basedOn w:val="a0"/>
    <w:link w:val="ac"/>
    <w:uiPriority w:val="99"/>
    <w:semiHidden/>
    <w:rsid w:val="00475847"/>
    <w:rPr>
      <w:rFonts w:eastAsia="Noto Serif CJK SC" w:cs="Mangal"/>
      <w:sz w:val="18"/>
      <w:szCs w:val="16"/>
    </w:rPr>
  </w:style>
  <w:style w:type="paragraph" w:styleId="ad">
    <w:name w:val="Document Map"/>
    <w:basedOn w:val="a"/>
    <w:link w:val="Char0"/>
    <w:uiPriority w:val="99"/>
    <w:semiHidden/>
    <w:unhideWhenUsed/>
    <w:rsid w:val="00475847"/>
    <w:rPr>
      <w:rFonts w:ascii="宋体" w:eastAsia="宋体" w:cs="Mangal"/>
      <w:sz w:val="18"/>
      <w:szCs w:val="16"/>
    </w:rPr>
  </w:style>
  <w:style w:type="character" w:customStyle="1" w:styleId="Char0">
    <w:name w:val="文档结构图 Char"/>
    <w:basedOn w:val="a0"/>
    <w:link w:val="ad"/>
    <w:uiPriority w:val="99"/>
    <w:semiHidden/>
    <w:rsid w:val="00475847"/>
    <w:rPr>
      <w:rFonts w:ascii="宋体" w:eastAsia="宋体" w:cs="Mangal"/>
      <w:sz w:val="18"/>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github.com/OPM/opm-data" TargetMode="External"/><Relationship Id="rId13" Type="http://schemas.openxmlformats.org/officeDocument/2006/relationships/hyperlink" Target="https://github.com/Statoil/libecl" TargetMode="External"/><Relationship Id="rId18" Type="http://schemas.openxmlformats.org/officeDocument/2006/relationships/hyperlink" Target="https://opm-project.org/?page_id=36" TargetMode="External"/><Relationship Id="rId26" Type="http://schemas.openxmlformats.org/officeDocument/2006/relationships/image" Target="media/image6.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opm-project.org/?page_id=197&amp;page=3" TargetMode="External"/><Relationship Id="rId34" Type="http://schemas.openxmlformats.org/officeDocument/2006/relationships/image" Target="media/image10.png"/><Relationship Id="rId7" Type="http://schemas.openxmlformats.org/officeDocument/2006/relationships/hyperlink" Target="https://opm-project.org/?page_id=36" TargetMode="External"/><Relationship Id="rId12" Type="http://schemas.openxmlformats.org/officeDocument/2006/relationships/image" Target="media/image2.png"/><Relationship Id="rId17" Type="http://schemas.openxmlformats.org/officeDocument/2006/relationships/image" Target="media/image4.emf"/><Relationship Id="rId25" Type="http://schemas.openxmlformats.org/officeDocument/2006/relationships/hyperlink" Target="https://opm-project.org/wp-content/uploads/2016/12/2_open_smspec.png" TargetMode="External"/><Relationship Id="rId33" Type="http://schemas.openxmlformats.org/officeDocument/2006/relationships/hyperlink" Target="https://opm-project.org/wp-content/uploads/2016/12/6_select_well_filter.png" TargetMode="External"/><Relationship Id="rId38"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github.com/OPM/opm-utilities/" TargetMode="External"/><Relationship Id="rId20" Type="http://schemas.openxmlformats.org/officeDocument/2006/relationships/hyperlink" Target="https://opm-project.org/?page_id=117" TargetMode="External"/><Relationship Id="rId29" Type="http://schemas.openxmlformats.org/officeDocument/2006/relationships/hyperlink" Target="https://opm-project.org/wp-content/uploads/2016/12/4_loaded.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opm-project.org/wp-content/uploads/2018/10/screen_flow_spe1.png" TargetMode="Externa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https://opm-project.org/wp-content/uploads/2016/12/F-1H_WWIR.png" TargetMode="External"/><Relationship Id="rId40" Type="http://schemas.openxmlformats.org/officeDocument/2006/relationships/theme" Target="theme/theme1.xml"/><Relationship Id="rId5" Type="http://schemas.openxmlformats.org/officeDocument/2006/relationships/hyperlink" Target="https://opm-project.org/wp-content/uploads/2015/10/SPE1_mesh_color.png" TargetMode="External"/><Relationship Id="rId15" Type="http://schemas.openxmlformats.org/officeDocument/2006/relationships/image" Target="media/image3.png"/><Relationship Id="rId23" Type="http://schemas.openxmlformats.org/officeDocument/2006/relationships/hyperlink" Target="https://opm-project.org/wp-content/uploads/2016/12/1_open.png" TargetMode="External"/><Relationship Id="rId28" Type="http://schemas.openxmlformats.org/officeDocument/2006/relationships/image" Target="media/image7.png"/><Relationship Id="rId36" Type="http://schemas.openxmlformats.org/officeDocument/2006/relationships/image" Target="media/image11.png"/><Relationship Id="rId10" Type="http://schemas.openxmlformats.org/officeDocument/2006/relationships/hyperlink" Target="http://www.ipt.ntnu.no/~norne/wiki/doku.php?id=start" TargetMode="External"/><Relationship Id="rId19" Type="http://schemas.openxmlformats.org/officeDocument/2006/relationships/hyperlink" Target="https://opm-project.org/?page_id=197" TargetMode="External"/><Relationship Id="rId31" Type="http://schemas.openxmlformats.org/officeDocument/2006/relationships/hyperlink" Target="https://opm-project.org/wp-content/uploads/2016/12/5_select_well_curves.png" TargetMode="External"/><Relationship Id="rId4" Type="http://schemas.openxmlformats.org/officeDocument/2006/relationships/webSettings" Target="webSettings.xml"/><Relationship Id="rId9" Type="http://schemas.openxmlformats.org/officeDocument/2006/relationships/hyperlink" Target="http://www.spe.org/web/csp/" TargetMode="External"/><Relationship Id="rId14" Type="http://schemas.openxmlformats.org/officeDocument/2006/relationships/hyperlink" Target="http://opm-project.org/wp-content/uploads/2018/10/screen_ecl_summary_spe1.png" TargetMode="External"/><Relationship Id="rId22" Type="http://schemas.openxmlformats.org/officeDocument/2006/relationships/hyperlink" Target="http://opm-project.org/?page_id=197&amp;page=5" TargetMode="External"/><Relationship Id="rId27" Type="http://schemas.openxmlformats.org/officeDocument/2006/relationships/hyperlink" Target="https://opm-project.org/wp-content/uploads/2016/12/3_loaded.png" TargetMode="External"/><Relationship Id="rId30" Type="http://schemas.openxmlformats.org/officeDocument/2006/relationships/image" Target="media/image8.png"/><Relationship Id="rId35" Type="http://schemas.openxmlformats.org/officeDocument/2006/relationships/hyperlink" Target="https://opm-project.org/wp-content/uploads/2016/12/C-2H_WBHP.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11</Pages>
  <Words>1899</Words>
  <Characters>10829</Characters>
  <Application>Microsoft Office Word</Application>
  <DocSecurity>0</DocSecurity>
  <Lines>90</Lines>
  <Paragraphs>25</Paragraphs>
  <ScaleCrop>false</ScaleCrop>
  <Company>Microsoft</Company>
  <LinksUpToDate>false</LinksUpToDate>
  <CharactersWithSpaces>12703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xbany</cp:lastModifiedBy>
  <cp:revision>10</cp:revision>
  <dcterms:created xsi:type="dcterms:W3CDTF">2023-03-17T14:27:00Z</dcterms:created>
  <dcterms:modified xsi:type="dcterms:W3CDTF">2023-03-17T07:27:00Z</dcterms:modified>
  <dc:language>zh-CN</dc:language>
</cp:coreProperties>
</file>