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0F30F5" w:rsidP="00474C83">
      <w:pPr>
        <w:pStyle w:val="1"/>
      </w:pPr>
      <w:r>
        <w:rPr>
          <w:rFonts w:hint="eastAsia"/>
        </w:rPr>
        <w:t>t</w:t>
      </w:r>
      <w:r w:rsidR="00474C83">
        <w:rPr>
          <w:rFonts w:hint="eastAsia"/>
        </w:rPr>
        <w:t>elemac</w:t>
      </w:r>
      <w:r w:rsidR="00474C83" w:rsidRPr="00474C83">
        <w:rPr>
          <w:rFonts w:hint="eastAsia"/>
        </w:rPr>
        <w:t>2d</w:t>
      </w:r>
      <w:r w:rsidR="00474C83">
        <w:rPr>
          <w:rFonts w:hint="eastAsia"/>
        </w:rPr>
        <w:t>的</w:t>
      </w:r>
      <w:r w:rsidR="00474C83" w:rsidRPr="00474C83">
        <w:rPr>
          <w:rFonts w:hint="eastAsia"/>
        </w:rPr>
        <w:t>河道</w:t>
      </w:r>
      <w:r w:rsidR="00953D96">
        <w:rPr>
          <w:rFonts w:hint="eastAsia"/>
        </w:rPr>
        <w:t>崩岸</w:t>
      </w:r>
      <w:r>
        <w:rPr>
          <w:rFonts w:hint="eastAsia"/>
        </w:rPr>
        <w:t>模型</w:t>
      </w:r>
    </w:p>
    <w:p w:rsidR="003D05E9" w:rsidRDefault="003D05E9" w:rsidP="003D05E9">
      <w:pPr>
        <w:pStyle w:val="2"/>
      </w:pPr>
      <w:r>
        <w:rPr>
          <w:rFonts w:hint="eastAsia"/>
        </w:rPr>
        <w:t>蜿蜒河道演变及河岸崩塌</w:t>
      </w:r>
    </w:p>
    <w:p w:rsidR="003D05E9" w:rsidRDefault="00D20588" w:rsidP="00D20588">
      <w:pPr>
        <w:ind w:firstLine="480"/>
      </w:pPr>
      <w:r>
        <w:rPr>
          <w:rFonts w:hint="eastAsia"/>
        </w:rPr>
        <w:t>蜿蜒河道的演变机理复杂，冲积河流的水沙特性时空变异极大。因此，需要在数值模型中综合考虑各种影响蜿蜒河流演变的因素。但实际应用中，因为要模拟很长的时空尺度的过程，对物理机制和河流地形等因子作了简化，导致一些重要的物理过程未考虑到模拟当中，例如通过单一的侵蚀因子替代河岸崩塌过程的土力学过程，用于河道的横向发展模拟</w:t>
      </w:r>
      <w:r>
        <w:rPr>
          <w:rFonts w:hint="eastAsia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(Camporeale et al., 2005)</w:t>
      </w:r>
      <w:r>
        <w:rPr>
          <w:rFonts w:ascii="TimesNewRomanPSMT" w:hAnsi="TimesNewRomanPSMT" w:cs="TimesNewRomanPSMT" w:hint="eastAsia"/>
          <w:kern w:val="0"/>
          <w:szCs w:val="24"/>
        </w:rPr>
        <w:t>；河道的植被会改变河岸的可侵蚀性，河道植被的影响也未考虑在河道演变模型中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(</w:t>
      </w:r>
      <w:r>
        <w:rPr>
          <w:rFonts w:ascii="TimesNewRomanPSMT" w:hAnsi="TimesNewRomanPSMT" w:cs="TimesNewRomanPSMT"/>
          <w:kern w:val="0"/>
          <w:szCs w:val="24"/>
        </w:rPr>
        <w:t xml:space="preserve">Malkinson 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and </w:t>
      </w:r>
      <w:r>
        <w:rPr>
          <w:rFonts w:ascii="TimesNewRomanPSMT" w:hAnsi="TimesNewRomanPSMT" w:cs="TimesNewRomanPSMT"/>
          <w:kern w:val="0"/>
          <w:szCs w:val="24"/>
        </w:rPr>
        <w:t>Wittenberg,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2007</w:t>
      </w:r>
      <w:r>
        <w:rPr>
          <w:rFonts w:ascii="TimesNewRomanPSMT" w:hAnsi="TimesNewRomanPSMT" w:cs="TimesNewRomanPSMT" w:hint="eastAsia"/>
          <w:kern w:val="0"/>
          <w:szCs w:val="24"/>
        </w:rPr>
        <w:t>)</w:t>
      </w:r>
      <w:r>
        <w:rPr>
          <w:rFonts w:ascii="TimesNewRomanPSMT" w:hAnsi="TimesNewRomanPSMT" w:cs="TimesNewRomanPSMT" w:hint="eastAsia"/>
          <w:kern w:val="0"/>
          <w:szCs w:val="24"/>
        </w:rPr>
        <w:t>；</w:t>
      </w:r>
      <w:r w:rsidR="00847227">
        <w:rPr>
          <w:rFonts w:ascii="TimesNewRomanPSMT" w:hAnsi="TimesNewRomanPSMT" w:cs="TimesNewRomanPSMT" w:hint="eastAsia"/>
          <w:kern w:val="0"/>
          <w:szCs w:val="24"/>
        </w:rPr>
        <w:t>河道演变模型中的土力学河岸约束条件一般仅施加于单一河道，实际上自然界的河道水系非常复杂（例如洞庭湖水系），对复杂水系的河道岸坡崩塌的判断及模拟是十分必要的。</w:t>
      </w:r>
    </w:p>
    <w:p w:rsidR="003D05E9" w:rsidRPr="003D05E9" w:rsidRDefault="005B7B0B" w:rsidP="00A74414">
      <w:pPr>
        <w:ind w:firstLine="480"/>
      </w:pPr>
      <w:r>
        <w:rPr>
          <w:rFonts w:hint="eastAsia"/>
        </w:rPr>
        <w:t>上述的问题对模拟复杂水系河道的河岸崩塌现象提出了要求，需要开发更为复杂的河岸崩塌模型。</w:t>
      </w:r>
      <w:r>
        <w:rPr>
          <w:rFonts w:hint="eastAsia"/>
        </w:rPr>
        <w:t>TELEMAC2D</w:t>
      </w:r>
      <w:r>
        <w:rPr>
          <w:rFonts w:hint="eastAsia"/>
        </w:rPr>
        <w:t>模型中开发了采取物理机制和经验判断综合判断河岸崩塌的模块，用于识别和判断河岸崩塌位置和蜿蜒河道演变过程</w:t>
      </w:r>
      <w:r>
        <w:rPr>
          <w:rFonts w:hint="eastAsia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(Güneralp et al.,</w:t>
      </w:r>
      <w:r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2012)</w:t>
      </w:r>
      <w:r w:rsidR="00DC4B23">
        <w:rPr>
          <w:rFonts w:ascii="TimesNewRomanPSMT" w:hAnsi="TimesNewRomanPSMT" w:cs="TimesNewRomanPSMT" w:hint="eastAsia"/>
          <w:kern w:val="0"/>
          <w:szCs w:val="24"/>
        </w:rPr>
        <w:t>，并且可用于长时间河道演变过程的模拟。</w:t>
      </w:r>
    </w:p>
    <w:p w:rsidR="00320B37" w:rsidRDefault="00FD41B8" w:rsidP="00FD41B8">
      <w:pPr>
        <w:pStyle w:val="2"/>
      </w:pPr>
      <w:r>
        <w:rPr>
          <w:rFonts w:hint="eastAsia"/>
        </w:rPr>
        <w:t>TELEMAC</w:t>
      </w:r>
      <w:r w:rsidR="00C25AC4">
        <w:rPr>
          <w:rFonts w:hint="eastAsia"/>
        </w:rPr>
        <w:t>2D</w:t>
      </w:r>
      <w:r>
        <w:rPr>
          <w:rFonts w:hint="eastAsia"/>
        </w:rPr>
        <w:t>的土力学模块</w:t>
      </w:r>
    </w:p>
    <w:p w:rsidR="00006251" w:rsidRDefault="003C43D0" w:rsidP="00AC26C9">
      <w:pPr>
        <w:ind w:firstLine="480"/>
      </w:pPr>
      <w:r>
        <w:rPr>
          <w:rFonts w:hint="eastAsia"/>
        </w:rPr>
        <w:t>Telemac2d</w:t>
      </w:r>
      <w:r>
        <w:rPr>
          <w:rFonts w:hint="eastAsia"/>
        </w:rPr>
        <w:t>中的土力学计算模块</w:t>
      </w:r>
      <w:r>
        <w:rPr>
          <w:rFonts w:hint="eastAsia"/>
        </w:rPr>
        <w:t>(GEOTECH)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个部分：</w:t>
      </w:r>
    </w:p>
    <w:p w:rsidR="003C43D0" w:rsidRDefault="003C43D0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）地形分析算法</w:t>
      </w:r>
    </w:p>
    <w:p w:rsidR="001824FA" w:rsidRDefault="00F6409D" w:rsidP="00AC26C9">
      <w:pPr>
        <w:ind w:firstLine="480"/>
      </w:pPr>
      <w:r>
        <w:rPr>
          <w:rFonts w:hint="eastAsia"/>
        </w:rPr>
        <w:t>生成沿斜坡稳定性评估中的断面网络。该算法模拟区域中任意斜坡位置，并非严格地沿着弯道河段的外河岸。</w:t>
      </w:r>
    </w:p>
    <w:p w:rsidR="00157FC4" w:rsidRDefault="003C43D0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171E5">
        <w:rPr>
          <w:rFonts w:hint="eastAsia"/>
        </w:rPr>
        <w:t>河岸</w:t>
      </w:r>
      <w:r>
        <w:rPr>
          <w:rFonts w:hint="eastAsia"/>
        </w:rPr>
        <w:t>崩塌起源算法</w:t>
      </w:r>
    </w:p>
    <w:p w:rsidR="001824FA" w:rsidRDefault="00D82003" w:rsidP="00AC26C9">
      <w:pPr>
        <w:ind w:firstLine="480"/>
      </w:pPr>
      <w:r>
        <w:rPr>
          <w:rFonts w:hint="eastAsia"/>
        </w:rPr>
        <w:t>沿每个断面，搜索最有可能剖面失稳的几何体。</w:t>
      </w:r>
    </w:p>
    <w:p w:rsidR="00006251" w:rsidRDefault="00F940A9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46C3">
        <w:rPr>
          <w:rFonts w:hint="eastAsia"/>
        </w:rPr>
        <w:t>河岸</w:t>
      </w:r>
      <w:r>
        <w:rPr>
          <w:rFonts w:hint="eastAsia"/>
        </w:rPr>
        <w:t>稳定性评估</w:t>
      </w:r>
    </w:p>
    <w:p w:rsidR="001824FA" w:rsidRDefault="00D82003" w:rsidP="00AC26C9">
      <w:pPr>
        <w:ind w:firstLine="480"/>
      </w:pPr>
      <w:r>
        <w:rPr>
          <w:rFonts w:hint="eastAsia"/>
        </w:rPr>
        <w:t>对任意潜在失稳剖面，计算安全性因子。</w:t>
      </w:r>
    </w:p>
    <w:p w:rsidR="00F940A9" w:rsidRDefault="00475336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658BB">
        <w:rPr>
          <w:rFonts w:hint="eastAsia"/>
        </w:rPr>
        <w:t>河岸浸润水位</w:t>
      </w:r>
    </w:p>
    <w:p w:rsidR="00F940A9" w:rsidRDefault="00475336" w:rsidP="00AC26C9">
      <w:pPr>
        <w:ind w:firstLine="480"/>
      </w:pPr>
      <w:r>
        <w:rPr>
          <w:rFonts w:hint="eastAsia"/>
        </w:rPr>
        <w:t>计算河岸附近滩地的</w:t>
      </w:r>
      <w:r w:rsidR="00B658BB">
        <w:rPr>
          <w:rFonts w:hint="eastAsia"/>
        </w:rPr>
        <w:t>地下</w:t>
      </w:r>
      <w:r>
        <w:rPr>
          <w:rFonts w:hint="eastAsia"/>
        </w:rPr>
        <w:t>水位。</w:t>
      </w:r>
    </w:p>
    <w:p w:rsidR="00475336" w:rsidRDefault="00475336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24361">
        <w:rPr>
          <w:rFonts w:hint="eastAsia"/>
        </w:rPr>
        <w:t>河岸</w:t>
      </w:r>
      <w:r>
        <w:rPr>
          <w:rFonts w:hint="eastAsia"/>
        </w:rPr>
        <w:t>崩塌块体分析</w:t>
      </w:r>
    </w:p>
    <w:p w:rsidR="00F940A9" w:rsidRDefault="00475336" w:rsidP="00AC26C9">
      <w:pPr>
        <w:ind w:firstLine="480"/>
      </w:pPr>
      <w:r>
        <w:rPr>
          <w:rFonts w:hint="eastAsia"/>
        </w:rPr>
        <w:t>移除不稳定崩塌块体</w:t>
      </w:r>
      <w:r w:rsidR="00960A79">
        <w:rPr>
          <w:rFonts w:hint="eastAsia"/>
        </w:rPr>
        <w:t>，在下坡</w:t>
      </w:r>
      <w:r w:rsidR="005A0EDC">
        <w:rPr>
          <w:rFonts w:hint="eastAsia"/>
        </w:rPr>
        <w:t>方向</w:t>
      </w:r>
      <w:r w:rsidR="00960A79">
        <w:rPr>
          <w:rFonts w:hint="eastAsia"/>
        </w:rPr>
        <w:t>沉积，更新计算网格地形</w:t>
      </w:r>
      <w:r>
        <w:rPr>
          <w:rFonts w:hint="eastAsia"/>
        </w:rPr>
        <w:t>。</w:t>
      </w:r>
    </w:p>
    <w:p w:rsidR="005A0EDC" w:rsidRDefault="005A0EDC" w:rsidP="00AC26C9">
      <w:pPr>
        <w:ind w:firstLine="480"/>
      </w:pPr>
      <w:r>
        <w:rPr>
          <w:rFonts w:hint="eastAsia"/>
        </w:rPr>
        <w:lastRenderedPageBreak/>
        <w:t>以上模块综合评估河岸的土力学稳定性，河道地形采用三角形网格</w:t>
      </w:r>
      <w:r>
        <w:rPr>
          <w:rFonts w:hint="eastAsia"/>
        </w:rPr>
        <w:t>(TIN)</w:t>
      </w:r>
      <w:r>
        <w:rPr>
          <w:rFonts w:hint="eastAsia"/>
        </w:rPr>
        <w:t>描述，河道水流条件（主要是水位）决定河岸稳定性，并计算泥沙输移和河道演变过程。</w:t>
      </w:r>
    </w:p>
    <w:p w:rsidR="00F940A9" w:rsidRDefault="00D944CC" w:rsidP="00BD3DB0">
      <w:pPr>
        <w:ind w:firstLine="480"/>
        <w:jc w:val="center"/>
      </w:pPr>
      <w:r w:rsidRPr="00D944CC">
        <w:rPr>
          <w:noProof/>
        </w:rPr>
        <w:drawing>
          <wp:inline distT="0" distB="0" distL="0" distR="0">
            <wp:extent cx="4589386" cy="3617843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6" cy="361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0A9" w:rsidRDefault="00D0786D" w:rsidP="00D0786D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土力学模块的</w:t>
      </w:r>
      <w:r>
        <w:rPr>
          <w:rFonts w:hint="eastAsia"/>
        </w:rPr>
        <w:t>5</w:t>
      </w:r>
      <w:r>
        <w:rPr>
          <w:rFonts w:hint="eastAsia"/>
        </w:rPr>
        <w:t>个部分及与</w:t>
      </w:r>
      <w:r>
        <w:rPr>
          <w:rFonts w:hint="eastAsia"/>
        </w:rPr>
        <w:t>TELEMAC2D</w:t>
      </w:r>
      <w:r>
        <w:rPr>
          <w:rFonts w:hint="eastAsia"/>
        </w:rPr>
        <w:t>水动力学模型的耦合</w:t>
      </w:r>
    </w:p>
    <w:p w:rsidR="00A15D42" w:rsidRDefault="004B1DE7" w:rsidP="00AC26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）地形分析</w:t>
      </w:r>
    </w:p>
    <w:p w:rsidR="00A15D42" w:rsidRDefault="004B1DE7" w:rsidP="00AC26C9">
      <w:pPr>
        <w:ind w:firstLine="480"/>
      </w:pPr>
      <w:r>
        <w:rPr>
          <w:rFonts w:hint="eastAsia"/>
        </w:rPr>
        <w:t>传统的河岸崩塌模型中，河道地形分析算法与计算网格是独立的</w:t>
      </w:r>
      <w:r>
        <w:rPr>
          <w:rFonts w:hint="eastAsia"/>
        </w:rPr>
        <w:t>2</w:t>
      </w:r>
      <w:r>
        <w:rPr>
          <w:rFonts w:hint="eastAsia"/>
        </w:rPr>
        <w:t>个部分，在河道任意断面都可发生河岸崩塌，这些模型一般采用贴体曲线坐标的结构网格，用于描述单一的蜿蜒河道，而河道漫滩往往缺少地形数据，且此类模型没有考虑</w:t>
      </w:r>
      <w:r w:rsidR="0071619F">
        <w:rPr>
          <w:rFonts w:hint="eastAsia"/>
        </w:rPr>
        <w:t>冲刷和淤积历史事件的影响（忽略了古河槽和季节性演变</w:t>
      </w:r>
      <w:r>
        <w:rPr>
          <w:rFonts w:hint="eastAsia"/>
        </w:rPr>
        <w:t>河槽），河岸稳定性分析在每个网格断面进行，这虽然大大简化了稳定性分析的复杂度，但要求网格结构是结构性的，用于复杂水系的河道稳定性时并不适用。</w:t>
      </w:r>
    </w:p>
    <w:p w:rsidR="00A15D42" w:rsidRDefault="00BD3758" w:rsidP="00AC26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TELEMAC2D</w:t>
      </w:r>
      <w:r>
        <w:rPr>
          <w:rFonts w:hint="eastAsia"/>
        </w:rPr>
        <w:t>模型的土力学模块中，沿计算网格的</w:t>
      </w:r>
      <w:r w:rsidRPr="00BD3758">
        <w:rPr>
          <w:rFonts w:hint="eastAsia"/>
          <w:i/>
        </w:rPr>
        <w:t>x</w:t>
      </w:r>
      <w:r>
        <w:rPr>
          <w:rFonts w:hint="eastAsia"/>
        </w:rPr>
        <w:t>和</w:t>
      </w:r>
      <w:r w:rsidRPr="00BD3758">
        <w:rPr>
          <w:rFonts w:hint="eastAsia"/>
          <w:i/>
        </w:rPr>
        <w:t>y</w:t>
      </w:r>
      <w:r>
        <w:rPr>
          <w:rFonts w:hint="eastAsia"/>
        </w:rPr>
        <w:t>轴方向生成</w:t>
      </w:r>
      <w:r w:rsidR="00D2265F">
        <w:rPr>
          <w:rFonts w:hint="eastAsia"/>
        </w:rPr>
        <w:t>等间距的</w:t>
      </w:r>
      <w:r>
        <w:rPr>
          <w:rFonts w:hint="eastAsia"/>
        </w:rPr>
        <w:t>土力学分析</w:t>
      </w:r>
      <w:r w:rsidR="00D2265F">
        <w:rPr>
          <w:rFonts w:hint="eastAsia"/>
        </w:rPr>
        <w:t>横剖面，横剖面的长度、间距和节点数</w:t>
      </w:r>
      <w:r w:rsidR="00AC0A66">
        <w:rPr>
          <w:rFonts w:hint="eastAsia"/>
        </w:rPr>
        <w:t>可</w:t>
      </w:r>
      <w:r w:rsidR="00D2265F">
        <w:rPr>
          <w:rFonts w:hint="eastAsia"/>
        </w:rPr>
        <w:t>由用户定义，模型也可根据模拟区域边界自动调整剖面长度。基于此，每个横剖面旋转至指向最陡方向，这就避免了低估河岸比降的问题，否则会导致河岸崩塌判断错误。最后，调整每个分析剖面的节点数，直到分析剖面（从河槽深泓到河岸顶部）上的计算网格节点数是单调地增加或减少，如图</w:t>
      </w:r>
      <w:r w:rsidR="00D2265F">
        <w:rPr>
          <w:rFonts w:hint="eastAsia"/>
        </w:rPr>
        <w:t>2</w:t>
      </w:r>
      <w:r w:rsidR="00E11C40">
        <w:rPr>
          <w:rFonts w:hint="eastAsia"/>
        </w:rPr>
        <w:t>。</w:t>
      </w:r>
    </w:p>
    <w:p w:rsidR="005E2D39" w:rsidRDefault="005E2D39" w:rsidP="005E2D39">
      <w:pPr>
        <w:ind w:firstLine="480"/>
        <w:jc w:val="center"/>
      </w:pPr>
      <w:r w:rsidRPr="00482A37">
        <w:rPr>
          <w:noProof/>
        </w:rPr>
        <w:lastRenderedPageBreak/>
        <w:drawing>
          <wp:inline distT="0" distB="0" distL="0" distR="0">
            <wp:extent cx="3733966" cy="2186608"/>
            <wp:effectExtent l="19050" t="0" r="0" b="0"/>
            <wp:docPr id="9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87" cy="218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0A66" w:rsidRDefault="00AC0A66" w:rsidP="005E2D3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土力学稳定性分析剖面</w:t>
      </w:r>
      <w:r w:rsidR="0030474D">
        <w:rPr>
          <w:rFonts w:hint="eastAsia"/>
        </w:rPr>
        <w:t>节点及计算网格</w:t>
      </w:r>
    </w:p>
    <w:p w:rsidR="00B77220" w:rsidRDefault="0030474D" w:rsidP="00B77220">
      <w:pPr>
        <w:ind w:firstLine="480"/>
      </w:pPr>
      <w:r>
        <w:rPr>
          <w:rFonts w:hint="eastAsia"/>
        </w:rPr>
        <w:t>为改善计算效率，土力学模型可设置为仅考虑完全淹没、完全干地形或仅位于水陆边界附近的部分来生成分析剖面。模型认为干地形部分的河岸是稳定的。如图</w:t>
      </w:r>
      <w:r>
        <w:rPr>
          <w:rFonts w:hint="eastAsia"/>
        </w:rPr>
        <w:t>3</w:t>
      </w:r>
      <w:r>
        <w:rPr>
          <w:rFonts w:hint="eastAsia"/>
        </w:rPr>
        <w:t>，展示了整个模拟区域内分析剖面生成和旋转过程。</w:t>
      </w:r>
    </w:p>
    <w:p w:rsidR="00B77220" w:rsidRDefault="0030474D" w:rsidP="00B77220">
      <w:pPr>
        <w:ind w:firstLine="480"/>
      </w:pPr>
      <w:r>
        <w:rPr>
          <w:noProof/>
        </w:rPr>
        <w:drawing>
          <wp:inline distT="0" distB="0" distL="0" distR="0">
            <wp:extent cx="4859632" cy="4743801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5" cy="4744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FA5" w:rsidRDefault="00193FA5" w:rsidP="00193FA5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分析剖面生成和河道地形图（干地形为</w:t>
      </w:r>
      <w:r>
        <w:rPr>
          <w:rFonts w:hint="eastAsia"/>
        </w:rPr>
        <w:t>LiDAR</w:t>
      </w:r>
      <w:r>
        <w:rPr>
          <w:rFonts w:hint="eastAsia"/>
        </w:rPr>
        <w:t>数据，水下地形采用</w:t>
      </w:r>
      <w:r>
        <w:rPr>
          <w:rFonts w:hint="eastAsia"/>
        </w:rPr>
        <w:lastRenderedPageBreak/>
        <w:t>DGPS</w:t>
      </w:r>
      <w:r>
        <w:rPr>
          <w:rFonts w:hint="eastAsia"/>
        </w:rPr>
        <w:t>技术测量；水深由</w:t>
      </w:r>
      <w:r>
        <w:rPr>
          <w:rFonts w:hint="eastAsia"/>
        </w:rPr>
        <w:t>TELEMAC2D</w:t>
      </w:r>
      <w:r>
        <w:rPr>
          <w:rFonts w:hint="eastAsia"/>
        </w:rPr>
        <w:t>模型计算。稳定性分析剖面长度</w:t>
      </w:r>
      <w:r>
        <w:rPr>
          <w:rFonts w:hint="eastAsia"/>
        </w:rPr>
        <w:t>16 m</w:t>
      </w:r>
      <w:r>
        <w:rPr>
          <w:rFonts w:hint="eastAsia"/>
        </w:rPr>
        <w:t>，间距为长度的</w:t>
      </w:r>
      <w:r>
        <w:rPr>
          <w:rFonts w:hint="eastAsia"/>
        </w:rPr>
        <w:t>0.71</w:t>
      </w:r>
      <w:r>
        <w:rPr>
          <w:rFonts w:hint="eastAsia"/>
        </w:rPr>
        <w:t>倍，仅考虑水下淹没部分的断面。）</w:t>
      </w:r>
    </w:p>
    <w:p w:rsidR="00193FA5" w:rsidRDefault="00907428" w:rsidP="00193F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）河岸崩塌起源判断的遗传算法</w:t>
      </w:r>
    </w:p>
    <w:p w:rsidR="00193FA5" w:rsidRDefault="00907428" w:rsidP="00907428">
      <w:pPr>
        <w:ind w:firstLine="480"/>
      </w:pPr>
      <w:r>
        <w:rPr>
          <w:rFonts w:hint="eastAsia"/>
        </w:rPr>
        <w:t>河岸崩塌的临界滑动面，就是</w:t>
      </w:r>
      <w:r w:rsidR="00B761BF">
        <w:rPr>
          <w:rFonts w:hint="eastAsia"/>
        </w:rPr>
        <w:t>上部</w:t>
      </w:r>
      <w:r>
        <w:rPr>
          <w:rFonts w:hint="eastAsia"/>
        </w:rPr>
        <w:t>移动块体与下部的稳定土体结构的相邻面，通常采用节点搜索算法来定位。考虑若干组的不同土力学特性的试验滑动面计算得到最小稳定因子。</w:t>
      </w:r>
      <w:r>
        <w:rPr>
          <w:rFonts w:hint="eastAsia"/>
        </w:rPr>
        <w:t>TELEMAC2D</w:t>
      </w:r>
      <w:r>
        <w:rPr>
          <w:rFonts w:hint="eastAsia"/>
        </w:rPr>
        <w:t>模型的土力学模块采用</w:t>
      </w:r>
      <w:r>
        <w:rPr>
          <w:rFonts w:hint="eastAsia"/>
        </w:rPr>
        <w:t>Li et al. (2010)</w:t>
      </w:r>
      <w:r>
        <w:rPr>
          <w:rFonts w:hint="eastAsia"/>
        </w:rPr>
        <w:t>的竞争选择的遗传算法来提高临界滑动面判别的计算效率。</w:t>
      </w:r>
    </w:p>
    <w:p w:rsidR="006046C3" w:rsidRDefault="006046C3" w:rsidP="0090742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）河岸稳定性评估</w:t>
      </w:r>
    </w:p>
    <w:p w:rsidR="006046C3" w:rsidRDefault="006046C3" w:rsidP="00907428">
      <w:pPr>
        <w:ind w:firstLine="480"/>
      </w:pPr>
      <w:r>
        <w:rPr>
          <w:rFonts w:hint="eastAsia"/>
        </w:rPr>
        <w:t>用安全因子</w:t>
      </w:r>
      <w:r w:rsidRPr="006046C3">
        <w:rPr>
          <w:rFonts w:hint="eastAsia"/>
          <w:i/>
        </w:rPr>
        <w:t>F</w:t>
      </w:r>
      <w:r w:rsidRPr="006046C3">
        <w:rPr>
          <w:rFonts w:hint="eastAsia"/>
          <w:i/>
          <w:vertAlign w:val="subscript"/>
        </w:rPr>
        <w:t>s</w:t>
      </w:r>
      <w:r>
        <w:rPr>
          <w:rFonts w:hint="eastAsia"/>
        </w:rPr>
        <w:t>定量判断河岸的稳定性。采用</w:t>
      </w:r>
      <w:r>
        <w:rPr>
          <w:rFonts w:hint="eastAsia"/>
        </w:rPr>
        <w:t>2D</w:t>
      </w:r>
      <w:r>
        <w:rPr>
          <w:rFonts w:hint="eastAsia"/>
        </w:rPr>
        <w:t>毕肖普条分法进行岸坡稳定性计算，如图</w:t>
      </w:r>
      <w:r>
        <w:rPr>
          <w:rFonts w:hint="eastAsia"/>
        </w:rPr>
        <w:t>4</w:t>
      </w:r>
      <w:r>
        <w:rPr>
          <w:rFonts w:hint="eastAsia"/>
        </w:rPr>
        <w:t>。需要迭代求解下列方程：</w:t>
      </w:r>
    </w:p>
    <w:p w:rsidR="00DC08F5" w:rsidRDefault="00DC08F5" w:rsidP="00DC08F5">
      <w:pPr>
        <w:ind w:firstLine="480"/>
        <w:jc w:val="center"/>
      </w:pPr>
      <w:r w:rsidRPr="00DC08F5">
        <w:rPr>
          <w:position w:val="-30"/>
        </w:rPr>
        <w:object w:dxaOrig="278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51pt" o:ole="">
            <v:imagedata r:id="rId9" o:title=""/>
          </v:shape>
          <o:OLEObject Type="Embed" ProgID="Equation.DSMT4" ShapeID="_x0000_i1025" DrawAspect="Content" ObjectID="_1672050908" r:id="rId10"/>
        </w:object>
      </w:r>
    </w:p>
    <w:p w:rsidR="00DC08F5" w:rsidRDefault="00DC08F5" w:rsidP="00DC08F5">
      <w:pPr>
        <w:ind w:firstLine="480"/>
        <w:jc w:val="center"/>
      </w:pPr>
      <w:r w:rsidRPr="00DC08F5">
        <w:rPr>
          <w:position w:val="-14"/>
        </w:rPr>
        <w:object w:dxaOrig="2560" w:dyaOrig="380">
          <v:shape id="_x0000_i1026" type="#_x0000_t75" style="width:128.25pt;height:19.5pt" o:ole="">
            <v:imagedata r:id="rId11" o:title=""/>
          </v:shape>
          <o:OLEObject Type="Embed" ProgID="Equation.DSMT4" ShapeID="_x0000_i1026" DrawAspect="Content" ObjectID="_1672050909" r:id="rId12"/>
        </w:object>
      </w:r>
    </w:p>
    <w:p w:rsidR="00DC08F5" w:rsidRDefault="00DC08F5" w:rsidP="00DC08F5">
      <w:pPr>
        <w:ind w:firstLine="480"/>
        <w:jc w:val="center"/>
      </w:pPr>
      <w:r w:rsidRPr="00DC08F5">
        <w:rPr>
          <w:position w:val="-14"/>
        </w:rPr>
        <w:object w:dxaOrig="2540" w:dyaOrig="380">
          <v:shape id="_x0000_i1027" type="#_x0000_t75" style="width:127.5pt;height:19.5pt" o:ole="">
            <v:imagedata r:id="rId13" o:title=""/>
          </v:shape>
          <o:OLEObject Type="Embed" ProgID="Equation.DSMT4" ShapeID="_x0000_i1027" DrawAspect="Content" ObjectID="_1672050910" r:id="rId14"/>
        </w:object>
      </w:r>
    </w:p>
    <w:p w:rsidR="00DC08F5" w:rsidRPr="00DC08F5" w:rsidRDefault="00DC08F5" w:rsidP="00DC08F5">
      <w:pPr>
        <w:ind w:firstLine="480"/>
        <w:jc w:val="center"/>
      </w:pPr>
      <w:r w:rsidRPr="00DC08F5">
        <w:rPr>
          <w:position w:val="-30"/>
        </w:rPr>
        <w:object w:dxaOrig="2460" w:dyaOrig="680">
          <v:shape id="_x0000_i1028" type="#_x0000_t75" style="width:123pt;height:34.5pt" o:ole="">
            <v:imagedata r:id="rId15" o:title=""/>
          </v:shape>
          <o:OLEObject Type="Embed" ProgID="Equation.DSMT4" ShapeID="_x0000_i1028" DrawAspect="Content" ObjectID="_1672050911" r:id="rId16"/>
        </w:object>
      </w:r>
    </w:p>
    <w:p w:rsidR="00675230" w:rsidRDefault="00675230" w:rsidP="00C62200">
      <w:pPr>
        <w:ind w:firstLineChars="0" w:firstLine="0"/>
      </w:pPr>
      <w:r>
        <w:rPr>
          <w:rFonts w:hint="eastAsia"/>
        </w:rPr>
        <w:t>式中，</w:t>
      </w:r>
      <w:r w:rsidRPr="00675230">
        <w:rPr>
          <w:rFonts w:hint="eastAsia"/>
          <w:i/>
        </w:rPr>
        <w:t>W</w:t>
      </w:r>
      <w:r w:rsidRPr="00675230">
        <w:rPr>
          <w:rFonts w:hint="eastAsia"/>
          <w:i/>
          <w:vertAlign w:val="subscript"/>
        </w:rPr>
        <w:t>s,i</w:t>
      </w:r>
      <w:r>
        <w:rPr>
          <w:rFonts w:hint="eastAsia"/>
        </w:rPr>
        <w:t>是条块</w:t>
      </w:r>
      <w:r w:rsidRPr="00675230">
        <w:rPr>
          <w:rFonts w:hint="eastAsia"/>
          <w:i/>
        </w:rPr>
        <w:t>i</w:t>
      </w:r>
      <w:r>
        <w:rPr>
          <w:rFonts w:hint="eastAsia"/>
        </w:rPr>
        <w:t>中土体重量；</w:t>
      </w:r>
      <w:r w:rsidRPr="00675230">
        <w:rPr>
          <w:rFonts w:hint="eastAsia"/>
          <w:i/>
        </w:rPr>
        <w:t>U</w:t>
      </w:r>
      <w:r w:rsidRPr="00675230">
        <w:rPr>
          <w:rFonts w:hint="eastAsia"/>
          <w:i/>
          <w:vertAlign w:val="subscript"/>
        </w:rPr>
        <w:t>i</w:t>
      </w:r>
      <w:r>
        <w:rPr>
          <w:rFonts w:hint="eastAsia"/>
        </w:rPr>
        <w:t>是条块基底部位的空隙水压力；</w:t>
      </w:r>
      <w:r w:rsidRPr="00675230">
        <w:rPr>
          <w:rFonts w:hint="eastAsia"/>
          <w:i/>
        </w:rPr>
        <w:t>b</w:t>
      </w:r>
      <w:r w:rsidRPr="00675230">
        <w:rPr>
          <w:rFonts w:hint="eastAsia"/>
          <w:i/>
          <w:vertAlign w:val="subscript"/>
        </w:rPr>
        <w:t>i</w:t>
      </w:r>
      <w:r>
        <w:rPr>
          <w:rFonts w:hint="eastAsia"/>
        </w:rPr>
        <w:t>是条块的宽度；</w:t>
      </w:r>
      <w:r w:rsidR="00C62200" w:rsidRPr="00C62200">
        <w:rPr>
          <w:position w:val="-14"/>
        </w:rPr>
        <w:object w:dxaOrig="1640" w:dyaOrig="380">
          <v:shape id="_x0000_i1029" type="#_x0000_t75" style="width:81.75pt;height:19.5pt" o:ole="">
            <v:imagedata r:id="rId17" o:title=""/>
          </v:shape>
          <o:OLEObject Type="Embed" ProgID="Equation.DSMT4" ShapeID="_x0000_i1029" DrawAspect="Content" ObjectID="_1672050912" r:id="rId18"/>
        </w:object>
      </w:r>
      <w:r w:rsidR="00C62200">
        <w:rPr>
          <w:rFonts w:hint="eastAsia"/>
        </w:rPr>
        <w:t>是承压水压力；</w:t>
      </w:r>
      <w:r w:rsidR="00C62200" w:rsidRPr="00C62200">
        <w:rPr>
          <w:position w:val="-14"/>
        </w:rPr>
        <w:object w:dxaOrig="420" w:dyaOrig="380">
          <v:shape id="_x0000_i1030" type="#_x0000_t75" style="width:21pt;height:19.5pt" o:ole="">
            <v:imagedata r:id="rId19" o:title=""/>
          </v:shape>
          <o:OLEObject Type="Embed" ProgID="Equation.DSMT4" ShapeID="_x0000_i1030" DrawAspect="Content" ObjectID="_1672050913" r:id="rId20"/>
        </w:object>
      </w:r>
      <w:r w:rsidR="00C62200">
        <w:rPr>
          <w:rFonts w:hint="eastAsia"/>
        </w:rPr>
        <w:t>是孔隙水重量；</w:t>
      </w:r>
      <w:r w:rsidR="00C62200" w:rsidRPr="00C62200">
        <w:rPr>
          <w:position w:val="-12"/>
        </w:rPr>
        <w:object w:dxaOrig="260" w:dyaOrig="360">
          <v:shape id="_x0000_i1031" type="#_x0000_t75" style="width:12.75pt;height:18pt" o:ole="">
            <v:imagedata r:id="rId21" o:title=""/>
          </v:shape>
          <o:OLEObject Type="Embed" ProgID="Equation.DSMT4" ShapeID="_x0000_i1031" DrawAspect="Content" ObjectID="_1672050914" r:id="rId22"/>
        </w:object>
      </w:r>
      <w:r w:rsidR="00C62200">
        <w:rPr>
          <w:rFonts w:hint="eastAsia"/>
        </w:rPr>
        <w:t>是条块基底部位的倾斜角度；</w:t>
      </w:r>
      <w:r w:rsidR="00C62200" w:rsidRPr="00C62200">
        <w:rPr>
          <w:position w:val="-12"/>
        </w:rPr>
        <w:object w:dxaOrig="260" w:dyaOrig="360">
          <v:shape id="_x0000_i1032" type="#_x0000_t75" style="width:12.75pt;height:18pt" o:ole="">
            <v:imagedata r:id="rId23" o:title=""/>
          </v:shape>
          <o:OLEObject Type="Embed" ProgID="Equation.DSMT4" ShapeID="_x0000_i1032" DrawAspect="Content" ObjectID="_1672050915" r:id="rId24"/>
        </w:object>
      </w:r>
      <w:r w:rsidR="00C62200">
        <w:rPr>
          <w:rFonts w:hint="eastAsia"/>
        </w:rPr>
        <w:t>为条块顶部的倾斜角度；</w:t>
      </w:r>
      <w:r w:rsidR="00C62200" w:rsidRPr="00C62200">
        <w:rPr>
          <w:position w:val="-12"/>
        </w:rPr>
        <w:object w:dxaOrig="240" w:dyaOrig="360">
          <v:shape id="_x0000_i1033" type="#_x0000_t75" style="width:12pt;height:18pt" o:ole="">
            <v:imagedata r:id="rId25" o:title=""/>
          </v:shape>
          <o:OLEObject Type="Embed" ProgID="Equation.DSMT4" ShapeID="_x0000_i1033" DrawAspect="Content" ObjectID="_1672050916" r:id="rId26"/>
        </w:object>
      </w:r>
      <w:r w:rsidR="00C62200">
        <w:rPr>
          <w:rFonts w:hint="eastAsia"/>
        </w:rPr>
        <w:t>是承压水压力方向与滑动面法向之间的夹角；</w:t>
      </w:r>
      <w:r w:rsidR="00C62200" w:rsidRPr="00C62200">
        <w:rPr>
          <w:position w:val="-10"/>
        </w:rPr>
        <w:object w:dxaOrig="200" w:dyaOrig="320">
          <v:shape id="_x0000_i1034" type="#_x0000_t75" style="width:9.75pt;height:15.75pt" o:ole="">
            <v:imagedata r:id="rId27" o:title=""/>
          </v:shape>
          <o:OLEObject Type="Embed" ProgID="Equation.DSMT4" ShapeID="_x0000_i1034" DrawAspect="Content" ObjectID="_1672050917" r:id="rId28"/>
        </w:object>
      </w:r>
      <w:r w:rsidR="00C62200">
        <w:rPr>
          <w:rFonts w:hint="eastAsia"/>
        </w:rPr>
        <w:t>为摩擦角度；</w:t>
      </w:r>
      <w:r w:rsidR="00C62200" w:rsidRPr="00C62200">
        <w:rPr>
          <w:rFonts w:hint="eastAsia"/>
          <w:i/>
        </w:rPr>
        <w:t>m</w:t>
      </w:r>
      <w:r w:rsidR="00C62200">
        <w:rPr>
          <w:rFonts w:hint="eastAsia"/>
        </w:rPr>
        <w:t>为</w:t>
      </w:r>
      <w:r w:rsidR="00C62200">
        <w:rPr>
          <w:rFonts w:hint="eastAsia"/>
        </w:rPr>
        <w:t>Bishop</w:t>
      </w:r>
      <w:r w:rsidR="00C62200">
        <w:rPr>
          <w:rFonts w:hint="eastAsia"/>
        </w:rPr>
        <w:t>公式中的经验系数，</w:t>
      </w:r>
      <w:r w:rsidR="00C62200" w:rsidRPr="00C62200">
        <w:rPr>
          <w:rFonts w:hint="eastAsia"/>
          <w:i/>
        </w:rPr>
        <w:t>n</w:t>
      </w:r>
      <w:r w:rsidR="00C62200">
        <w:rPr>
          <w:rFonts w:hint="eastAsia"/>
        </w:rPr>
        <w:t>为条块数目。</w:t>
      </w:r>
    </w:p>
    <w:p w:rsidR="00493EDE" w:rsidRDefault="00493EDE" w:rsidP="00493EDE">
      <w:pPr>
        <w:ind w:firstLine="480"/>
      </w:pPr>
      <w:r>
        <w:rPr>
          <w:rFonts w:hint="eastAsia"/>
        </w:rPr>
        <w:t>如果安全因子</w:t>
      </w:r>
      <w:r w:rsidRPr="00493EDE">
        <w:rPr>
          <w:rFonts w:hint="eastAsia"/>
          <w:i/>
        </w:rPr>
        <w:t>F</w:t>
      </w:r>
      <w:r w:rsidRPr="00493EDE">
        <w:rPr>
          <w:rFonts w:hint="eastAsia"/>
          <w:i/>
          <w:vertAlign w:val="subscript"/>
        </w:rPr>
        <w:t>s</w:t>
      </w:r>
      <w:r>
        <w:rPr>
          <w:rFonts w:hint="eastAsia"/>
        </w:rPr>
        <w:t>小于</w:t>
      </w:r>
      <w:r>
        <w:rPr>
          <w:rFonts w:hint="eastAsia"/>
        </w:rPr>
        <w:t>1.0</w:t>
      </w:r>
      <w:r w:rsidR="005D2D6A">
        <w:rPr>
          <w:rFonts w:hint="eastAsia"/>
        </w:rPr>
        <w:t>，</w:t>
      </w:r>
      <w:r>
        <w:rPr>
          <w:rFonts w:hint="eastAsia"/>
        </w:rPr>
        <w:t>则认为河岸失稳。</w:t>
      </w:r>
    </w:p>
    <w:p w:rsidR="005E2D39" w:rsidRDefault="002A1942" w:rsidP="005E2D39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3026299" cy="3789737"/>
            <wp:effectExtent l="19050" t="0" r="2651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89" cy="379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39" w:rsidRDefault="005E2D39" w:rsidP="005E2D39">
      <w:pPr>
        <w:ind w:firstLine="480"/>
        <w:jc w:val="center"/>
      </w:pPr>
      <w:r>
        <w:rPr>
          <w:rFonts w:hint="eastAsia"/>
        </w:rPr>
        <w:t>图</w:t>
      </w:r>
      <w:r w:rsidR="006046C3">
        <w:rPr>
          <w:rFonts w:hint="eastAsia"/>
        </w:rPr>
        <w:t>4</w:t>
      </w:r>
      <w:r>
        <w:rPr>
          <w:rFonts w:hint="eastAsia"/>
        </w:rPr>
        <w:t xml:space="preserve"> </w:t>
      </w:r>
      <w:r w:rsidR="006046C3">
        <w:rPr>
          <w:rFonts w:hint="eastAsia"/>
        </w:rPr>
        <w:t>河岸稳定性计算的毕肖普条分法示意图</w:t>
      </w:r>
    </w:p>
    <w:p w:rsidR="000A3734" w:rsidRDefault="000A3734" w:rsidP="000A37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bookmarkStart w:id="0" w:name="OLE_LINK1"/>
      <w:bookmarkStart w:id="1" w:name="OLE_LINK2"/>
      <w:r>
        <w:rPr>
          <w:rFonts w:hint="eastAsia"/>
        </w:rPr>
        <w:t>河岸</w:t>
      </w:r>
      <w:r w:rsidR="00B658BB">
        <w:rPr>
          <w:rFonts w:hint="eastAsia"/>
        </w:rPr>
        <w:t>浸润水位</w:t>
      </w:r>
      <w:bookmarkEnd w:id="0"/>
      <w:bookmarkEnd w:id="1"/>
    </w:p>
    <w:p w:rsidR="000A3734" w:rsidRDefault="00DC08F5" w:rsidP="00691192">
      <w:pPr>
        <w:ind w:firstLine="480"/>
      </w:pPr>
      <w:r>
        <w:rPr>
          <w:rFonts w:hint="eastAsia"/>
        </w:rPr>
        <w:t>当河岸土体浸没于水体当中，河岸稳定分析中的条分</w:t>
      </w:r>
      <w:r w:rsidR="006F2316">
        <w:rPr>
          <w:rFonts w:hint="eastAsia"/>
        </w:rPr>
        <w:t>土块</w:t>
      </w:r>
      <w:r>
        <w:rPr>
          <w:rFonts w:hint="eastAsia"/>
        </w:rPr>
        <w:t>就会部分或完全地充水</w:t>
      </w:r>
      <w:r w:rsidR="00691192">
        <w:rPr>
          <w:rFonts w:hint="eastAsia"/>
        </w:rPr>
        <w:t>，相对干燥状态时土体</w:t>
      </w:r>
      <w:r>
        <w:rPr>
          <w:rFonts w:hint="eastAsia"/>
        </w:rPr>
        <w:t>自重增大</w:t>
      </w:r>
      <w:r w:rsidR="00691192">
        <w:rPr>
          <w:rFonts w:hint="eastAsia"/>
        </w:rPr>
        <w:t>（式</w:t>
      </w:r>
      <w:r w:rsidR="00691192">
        <w:rPr>
          <w:rFonts w:hint="eastAsia"/>
        </w:rPr>
        <w:t>3~4</w:t>
      </w:r>
      <w:r w:rsidR="00691192">
        <w:rPr>
          <w:rFonts w:hint="eastAsia"/>
        </w:rPr>
        <w:t>的</w:t>
      </w:r>
      <w:r w:rsidR="00691192" w:rsidRPr="00691192">
        <w:rPr>
          <w:rFonts w:hint="eastAsia"/>
          <w:i/>
        </w:rPr>
        <w:t>W</w:t>
      </w:r>
      <w:r w:rsidR="00691192" w:rsidRPr="00691192">
        <w:rPr>
          <w:rFonts w:hint="eastAsia"/>
          <w:i/>
          <w:vertAlign w:val="subscript"/>
        </w:rPr>
        <w:t>s</w:t>
      </w:r>
      <w:r w:rsidR="00691192">
        <w:rPr>
          <w:rFonts w:hint="eastAsia"/>
        </w:rPr>
        <w:t>）。因此</w:t>
      </w:r>
      <w:r w:rsidR="006F2316">
        <w:rPr>
          <w:rFonts w:hint="eastAsia"/>
        </w:rPr>
        <w:t>，</w:t>
      </w:r>
      <w:r w:rsidR="00C87496">
        <w:rPr>
          <w:rFonts w:hint="eastAsia"/>
        </w:rPr>
        <w:t>在计算土块重量之前需要先计算水位。河岸的浸润水位线低于河道中的水位，为考虑该滞后效应，采用指数函数计算在</w:t>
      </w:r>
      <w:r w:rsidR="00C87496" w:rsidRPr="00C87496">
        <w:rPr>
          <w:position w:val="-12"/>
        </w:rPr>
        <w:object w:dxaOrig="999" w:dyaOrig="360">
          <v:shape id="_x0000_i1035" type="#_x0000_t75" style="width:50.25pt;height:18pt" o:ole="">
            <v:imagedata r:id="rId30" o:title=""/>
          </v:shape>
          <o:OLEObject Type="Embed" ProgID="Equation.DSMT4" ShapeID="_x0000_i1035" DrawAspect="Content" ObjectID="_1672050918" r:id="rId31"/>
        </w:object>
      </w:r>
      <w:r w:rsidR="00C87496">
        <w:rPr>
          <w:rFonts w:hint="eastAsia"/>
        </w:rPr>
        <w:t>时刻土体中的水位</w:t>
      </w:r>
      <w:r w:rsidR="00C87496" w:rsidRPr="00C87496">
        <w:rPr>
          <w:position w:val="-12"/>
        </w:rPr>
        <w:object w:dxaOrig="340" w:dyaOrig="380">
          <v:shape id="_x0000_i1036" type="#_x0000_t75" style="width:16.5pt;height:19.5pt" o:ole="">
            <v:imagedata r:id="rId32" o:title=""/>
          </v:shape>
          <o:OLEObject Type="Embed" ProgID="Equation.DSMT4" ShapeID="_x0000_i1036" DrawAspect="Content" ObjectID="_1672050919" r:id="rId33"/>
        </w:object>
      </w:r>
      <w:r w:rsidR="00C87496">
        <w:rPr>
          <w:rFonts w:hint="eastAsia"/>
        </w:rPr>
        <w:t>：</w:t>
      </w:r>
    </w:p>
    <w:p w:rsidR="00C87496" w:rsidRPr="00C87496" w:rsidRDefault="00514482" w:rsidP="00514482">
      <w:pPr>
        <w:ind w:firstLine="480"/>
        <w:jc w:val="center"/>
      </w:pPr>
      <w:r w:rsidRPr="00514482">
        <w:rPr>
          <w:position w:val="-14"/>
        </w:rPr>
        <w:object w:dxaOrig="2380" w:dyaOrig="400">
          <v:shape id="_x0000_i1037" type="#_x0000_t75" style="width:119.25pt;height:20.25pt" o:ole="">
            <v:imagedata r:id="rId34" o:title=""/>
          </v:shape>
          <o:OLEObject Type="Embed" ProgID="Equation.DSMT4" ShapeID="_x0000_i1037" DrawAspect="Content" ObjectID="_1672050920" r:id="rId35"/>
        </w:object>
      </w:r>
    </w:p>
    <w:p w:rsidR="00B722FF" w:rsidRPr="00D744F1" w:rsidRDefault="00D744F1" w:rsidP="009A5F45">
      <w:pPr>
        <w:ind w:firstLineChars="0" w:firstLine="0"/>
      </w:pPr>
      <w:r>
        <w:rPr>
          <w:rFonts w:hint="eastAsia"/>
        </w:rPr>
        <w:t>式中，</w:t>
      </w:r>
      <w:r w:rsidRPr="00D744F1">
        <w:rPr>
          <w:position w:val="-12"/>
        </w:rPr>
        <w:object w:dxaOrig="340" w:dyaOrig="360">
          <v:shape id="_x0000_i1038" type="#_x0000_t75" style="width:16.5pt;height:18pt" o:ole="">
            <v:imagedata r:id="rId36" o:title=""/>
          </v:shape>
          <o:OLEObject Type="Embed" ProgID="Equation.DSMT4" ShapeID="_x0000_i1038" DrawAspect="Content" ObjectID="_1672050921" r:id="rId37"/>
        </w:object>
      </w:r>
      <w:r>
        <w:rPr>
          <w:rFonts w:hint="eastAsia"/>
        </w:rPr>
        <w:t>和</w:t>
      </w:r>
      <w:r w:rsidRPr="00C87496">
        <w:rPr>
          <w:position w:val="-12"/>
        </w:rPr>
        <w:object w:dxaOrig="340" w:dyaOrig="380">
          <v:shape id="_x0000_i1039" type="#_x0000_t75" style="width:16.5pt;height:19.5pt" o:ole="">
            <v:imagedata r:id="rId32" o:title=""/>
          </v:shape>
          <o:OLEObject Type="Embed" ProgID="Equation.DSMT4" ShapeID="_x0000_i1039" DrawAspect="Content" ObjectID="_1672050922" r:id="rId38"/>
        </w:object>
      </w:r>
      <w:r>
        <w:rPr>
          <w:rFonts w:hint="eastAsia"/>
        </w:rPr>
        <w:t>分别是在</w:t>
      </w:r>
      <w:r w:rsidRPr="00D744F1">
        <w:rPr>
          <w:rFonts w:hint="eastAsia"/>
          <w:i/>
        </w:rPr>
        <w:t>t</w:t>
      </w:r>
      <w:r w:rsidRPr="00D744F1">
        <w:rPr>
          <w:rFonts w:hint="eastAsia"/>
          <w:i/>
          <w:vertAlign w:val="subscript"/>
        </w:rPr>
        <w:t>0</w:t>
      </w:r>
      <w:r>
        <w:rPr>
          <w:rFonts w:hint="eastAsia"/>
        </w:rPr>
        <w:t>和</w:t>
      </w:r>
      <w:r w:rsidRPr="00D744F1">
        <w:rPr>
          <w:position w:val="-12"/>
        </w:rPr>
        <w:object w:dxaOrig="680" w:dyaOrig="360">
          <v:shape id="_x0000_i1040" type="#_x0000_t75" style="width:34.5pt;height:18pt" o:ole="">
            <v:imagedata r:id="rId39" o:title=""/>
          </v:shape>
          <o:OLEObject Type="Embed" ProgID="Equation.DSMT4" ShapeID="_x0000_i1040" DrawAspect="Content" ObjectID="_1672050923" r:id="rId40"/>
        </w:object>
      </w:r>
      <w:r>
        <w:rPr>
          <w:rFonts w:hint="eastAsia"/>
        </w:rPr>
        <w:t>时刻的河岸土体中的水位；</w:t>
      </w:r>
      <w:r w:rsidRPr="00D744F1">
        <w:rPr>
          <w:position w:val="-14"/>
        </w:rPr>
        <w:object w:dxaOrig="320" w:dyaOrig="380">
          <v:shape id="_x0000_i1041" type="#_x0000_t75" style="width:15.75pt;height:19.5pt" o:ole="">
            <v:imagedata r:id="rId41" o:title=""/>
          </v:shape>
          <o:OLEObject Type="Embed" ProgID="Equation.DSMT4" ShapeID="_x0000_i1041" DrawAspect="Content" ObjectID="_1672050924" r:id="rId42"/>
        </w:object>
      </w:r>
      <w:r>
        <w:rPr>
          <w:rFonts w:hint="eastAsia"/>
        </w:rPr>
        <w:t>为</w:t>
      </w:r>
      <w:r w:rsidRPr="00D744F1">
        <w:rPr>
          <w:position w:val="-12"/>
        </w:rPr>
        <w:object w:dxaOrig="220" w:dyaOrig="360">
          <v:shape id="_x0000_i1042" type="#_x0000_t75" style="width:10.5pt;height:18pt" o:ole="">
            <v:imagedata r:id="rId43" o:title=""/>
          </v:shape>
          <o:OLEObject Type="Embed" ProgID="Equation.DSMT4" ShapeID="_x0000_i1042" DrawAspect="Content" ObjectID="_1672050925" r:id="rId44"/>
        </w:object>
      </w:r>
      <w:r>
        <w:rPr>
          <w:rFonts w:hint="eastAsia"/>
        </w:rPr>
        <w:t>时刻河道中的水位；</w:t>
      </w:r>
      <w:r w:rsidRPr="00D744F1">
        <w:rPr>
          <w:rFonts w:hint="eastAsia"/>
          <w:i/>
        </w:rPr>
        <w:t>k</w:t>
      </w:r>
      <w:r>
        <w:rPr>
          <w:rFonts w:hint="eastAsia"/>
        </w:rPr>
        <w:t>为水位</w:t>
      </w:r>
      <w:r w:rsidR="00B658BB">
        <w:rPr>
          <w:rFonts w:hint="eastAsia"/>
        </w:rPr>
        <w:t>向</w:t>
      </w:r>
      <w:r w:rsidRPr="00D744F1">
        <w:rPr>
          <w:position w:val="-14"/>
        </w:rPr>
        <w:object w:dxaOrig="320" w:dyaOrig="380">
          <v:shape id="_x0000_i1043" type="#_x0000_t75" style="width:15.75pt;height:19.5pt" o:ole="">
            <v:imagedata r:id="rId41" o:title=""/>
          </v:shape>
          <o:OLEObject Type="Embed" ProgID="Equation.DSMT4" ShapeID="_x0000_i1043" DrawAspect="Content" ObjectID="_1672050926" r:id="rId45"/>
        </w:object>
      </w:r>
      <w:r>
        <w:rPr>
          <w:rFonts w:hint="eastAsia"/>
        </w:rPr>
        <w:t>收敛的速率。</w:t>
      </w:r>
    </w:p>
    <w:p w:rsidR="000A3734" w:rsidRPr="00D744F1" w:rsidRDefault="00D744F1" w:rsidP="000A3734">
      <w:pPr>
        <w:ind w:firstLine="480"/>
      </w:pPr>
      <w:r>
        <w:rPr>
          <w:rFonts w:hint="eastAsia"/>
        </w:rPr>
        <w:t>根据水力传导度调整</w:t>
      </w:r>
      <w:r w:rsidRPr="00D744F1">
        <w:rPr>
          <w:rFonts w:hint="eastAsia"/>
          <w:i/>
        </w:rPr>
        <w:t>k</w:t>
      </w:r>
      <w:r>
        <w:rPr>
          <w:rFonts w:hint="eastAsia"/>
        </w:rPr>
        <w:t>的取值</w:t>
      </w:r>
      <w:r w:rsidR="009C090C">
        <w:rPr>
          <w:rFonts w:hint="eastAsia"/>
        </w:rPr>
        <w:t>。另外，涨水阶段比落水阶段，河岸土体中的水位变化要快，所以要分阶段取不同的</w:t>
      </w:r>
      <w:r w:rsidR="009C090C" w:rsidRPr="009C090C">
        <w:rPr>
          <w:rFonts w:hint="eastAsia"/>
          <w:i/>
        </w:rPr>
        <w:t>k</w:t>
      </w:r>
      <w:r w:rsidR="009C090C">
        <w:rPr>
          <w:rFonts w:hint="eastAsia"/>
        </w:rPr>
        <w:t>值。</w:t>
      </w:r>
    </w:p>
    <w:p w:rsidR="000A3734" w:rsidRDefault="000A3734" w:rsidP="000A373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）河岸崩塌块体</w:t>
      </w:r>
      <w:r w:rsidR="00AE18C1">
        <w:rPr>
          <w:rFonts w:hint="eastAsia"/>
        </w:rPr>
        <w:t>移除和沉积</w:t>
      </w:r>
    </w:p>
    <w:p w:rsidR="000A3734" w:rsidRDefault="00716D6F" w:rsidP="000A3734">
      <w:pPr>
        <w:ind w:firstLine="48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种选择决定崩塌发生后土块的去向。</w:t>
      </w:r>
      <w:r w:rsidR="009D092B">
        <w:rPr>
          <w:rFonts w:hint="eastAsia"/>
        </w:rPr>
        <w:t>一是：河岸崩塌后，土块立即进入水流带走；二是：较细颗粒</w:t>
      </w:r>
      <w:r>
        <w:rPr>
          <w:rFonts w:hint="eastAsia"/>
        </w:rPr>
        <w:t>部分（黏土和细沙）随水流流走，而较粗颗粒部分（砾石）在下游方向以水下休止角沉积下来。</w:t>
      </w:r>
    </w:p>
    <w:p w:rsidR="00EE06E4" w:rsidRPr="000A3734" w:rsidRDefault="00105794" w:rsidP="00AC26C9">
      <w:pPr>
        <w:ind w:firstLine="480"/>
      </w:pPr>
      <w:r>
        <w:rPr>
          <w:rFonts w:hint="eastAsia"/>
        </w:rPr>
        <w:lastRenderedPageBreak/>
        <w:t>如图</w:t>
      </w:r>
      <w:r>
        <w:rPr>
          <w:rFonts w:hint="eastAsia"/>
        </w:rPr>
        <w:t>4</w:t>
      </w:r>
      <w:r>
        <w:rPr>
          <w:rFonts w:hint="eastAsia"/>
        </w:rPr>
        <w:t>，假设河岸土体由等体积的粗细部分组成，摩擦角为</w:t>
      </w:r>
      <w:r>
        <w:rPr>
          <w:rFonts w:hint="eastAsia"/>
        </w:rPr>
        <w:t>45</w:t>
      </w:r>
      <w:r>
        <w:rPr>
          <w:rFonts w:hint="eastAsia"/>
        </w:rPr>
        <w:t>°，沿河道走向坡角恒定。因此，崩塌块体的面积均分（见图</w:t>
      </w:r>
      <w:r>
        <w:rPr>
          <w:rFonts w:hint="eastAsia"/>
        </w:rPr>
        <w:t>4a~</w:t>
      </w:r>
      <w:r>
        <w:rPr>
          <w:rFonts w:hint="eastAsia"/>
        </w:rPr>
        <w:t>图</w:t>
      </w:r>
      <w:r>
        <w:rPr>
          <w:rFonts w:hint="eastAsia"/>
        </w:rPr>
        <w:t>4c</w:t>
      </w:r>
      <w:r>
        <w:rPr>
          <w:rFonts w:hint="eastAsia"/>
        </w:rPr>
        <w:t>的灰色部分）。</w:t>
      </w:r>
    </w:p>
    <w:p w:rsidR="00EE06E4" w:rsidRDefault="00804A93" w:rsidP="00AC26C9">
      <w:pPr>
        <w:ind w:firstLine="480"/>
      </w:pPr>
      <w:r>
        <w:rPr>
          <w:rFonts w:hint="eastAsia"/>
        </w:rPr>
        <w:t>在河岸崩塌事件发生后，沿不稳定剖面需要采用迭代计算步骤，更新计算网格。注意</w:t>
      </w:r>
      <w:r>
        <w:rPr>
          <w:rFonts w:hint="eastAsia"/>
        </w:rPr>
        <w:t>2D</w:t>
      </w:r>
      <w:r>
        <w:rPr>
          <w:rFonts w:hint="eastAsia"/>
        </w:rPr>
        <w:t>土力学计算的剖面与</w:t>
      </w:r>
      <w:r>
        <w:rPr>
          <w:rFonts w:hint="eastAsia"/>
        </w:rPr>
        <w:t>3D</w:t>
      </w:r>
      <w:r>
        <w:rPr>
          <w:rFonts w:hint="eastAsia"/>
        </w:rPr>
        <w:t>计算网格不在同一层。因此，河岸崩塌断面的节点与计算网格节点并不重合。另外，覆盖于不稳定滑动剖面节点上的计算网格单元和节点在垂向上移动，直到河岸失稳之前和滞后计算网格的</w:t>
      </w:r>
      <w:r w:rsidR="00140BC3">
        <w:rPr>
          <w:rFonts w:hint="eastAsia"/>
        </w:rPr>
        <w:t>体积差与期望的侵蚀土壤的体积（细颗粒的土体体积部分）一致，至此沿滑动剖面的更新网格单元的河岸梯度与泥沙休止角一致，见图</w:t>
      </w:r>
      <w:r w:rsidR="00140BC3">
        <w:rPr>
          <w:rFonts w:hint="eastAsia"/>
        </w:rPr>
        <w:t>4c</w:t>
      </w:r>
      <w:r w:rsidR="00140BC3">
        <w:rPr>
          <w:rFonts w:hint="eastAsia"/>
        </w:rPr>
        <w:t>。</w:t>
      </w:r>
      <w:r w:rsidR="00A45FE2">
        <w:rPr>
          <w:rFonts w:hint="eastAsia"/>
        </w:rPr>
        <w:t>因为河床地形演变存在空间差异以及崩塌土体（较粗颗粒部分）堆积于河岸坡角处，需要使用</w:t>
      </w:r>
      <w:r w:rsidR="00A45FE2">
        <w:rPr>
          <w:rFonts w:hint="eastAsia"/>
        </w:rPr>
        <w:t>3D</w:t>
      </w:r>
      <w:r w:rsidR="00A45FE2">
        <w:rPr>
          <w:rFonts w:hint="eastAsia"/>
        </w:rPr>
        <w:t>求解器计算泥沙沉积。</w:t>
      </w:r>
    </w:p>
    <w:p w:rsidR="00EE06E4" w:rsidRPr="00F940A9" w:rsidRDefault="00EE06E4" w:rsidP="00AC26C9">
      <w:pPr>
        <w:ind w:firstLine="480"/>
      </w:pPr>
    </w:p>
    <w:p w:rsidR="00CF70E2" w:rsidRDefault="00103030" w:rsidP="00CF70E2">
      <w:pPr>
        <w:pStyle w:val="2"/>
      </w:pPr>
      <w:r>
        <w:rPr>
          <w:rFonts w:hint="eastAsia"/>
        </w:rPr>
        <w:t>参考文献</w:t>
      </w:r>
    </w:p>
    <w:p w:rsidR="00CF70E2" w:rsidRPr="00CF70E2" w:rsidRDefault="00CF70E2" w:rsidP="00CF70E2">
      <w:pPr>
        <w:ind w:firstLine="480"/>
      </w:pPr>
      <w:r w:rsidRPr="00CF70E2">
        <w:rPr>
          <w:kern w:val="0"/>
        </w:rPr>
        <w:t>Benjamin Dewals, Ismail Rifai, Kamal El-Kadi Abderrazek</w:t>
      </w:r>
      <w:r w:rsidRPr="00CF70E2">
        <w:rPr>
          <w:rFonts w:hint="eastAsia"/>
          <w:kern w:val="0"/>
        </w:rPr>
        <w:t>, et al.</w:t>
      </w:r>
      <w:r w:rsidRPr="00CF70E2">
        <w:rPr>
          <w:kern w:val="0"/>
        </w:rPr>
        <w:t xml:space="preserve"> (2018)</w:t>
      </w:r>
      <w:r>
        <w:rPr>
          <w:rFonts w:hint="eastAsia"/>
          <w:kern w:val="0"/>
        </w:rPr>
        <w:t>.</w:t>
      </w:r>
      <w:r w:rsidRPr="00CF70E2">
        <w:rPr>
          <w:kern w:val="0"/>
        </w:rPr>
        <w:t xml:space="preserve"> Numerical Simulation of lateral di</w:t>
      </w:r>
      <w:r>
        <w:rPr>
          <w:kern w:val="0"/>
        </w:rPr>
        <w:t>ke breaching due to overtopping</w:t>
      </w:r>
      <w:r>
        <w:rPr>
          <w:rFonts w:hint="eastAsia"/>
          <w:kern w:val="0"/>
        </w:rPr>
        <w:t>.</w:t>
      </w:r>
      <w:r w:rsidRPr="00CF70E2">
        <w:rPr>
          <w:kern w:val="0"/>
        </w:rPr>
        <w:t xml:space="preserve"> River Flow 2018</w:t>
      </w:r>
      <w:r>
        <w:rPr>
          <w:rFonts w:hint="eastAsia"/>
          <w:kern w:val="0"/>
        </w:rPr>
        <w:t xml:space="preserve">. </w:t>
      </w:r>
      <w:r w:rsidRPr="00CF70E2">
        <w:rPr>
          <w:kern w:val="0"/>
        </w:rPr>
        <w:t xml:space="preserve"> E3S Web of Conferences 40, 03025</w:t>
      </w:r>
      <w:r w:rsidR="00651DF0">
        <w:rPr>
          <w:rFonts w:hint="eastAsia"/>
          <w:kern w:val="0"/>
        </w:rPr>
        <w:t>.</w:t>
      </w:r>
    </w:p>
    <w:p w:rsidR="00EE179F" w:rsidRDefault="0003217D" w:rsidP="0003217D">
      <w:pPr>
        <w:ind w:firstLine="480"/>
        <w:rPr>
          <w:kern w:val="0"/>
        </w:rPr>
      </w:pPr>
      <w:r>
        <w:rPr>
          <w:kern w:val="0"/>
        </w:rPr>
        <w:t>Rousseau, Y. Y. , Van de Wiel, M. J. and Biron, P. M. (2014) 'Implementation of geotechnical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vegetation modules in</w:t>
      </w:r>
      <w:r w:rsidR="00C02C87">
        <w:rPr>
          <w:rFonts w:hint="eastAsia"/>
          <w:kern w:val="0"/>
        </w:rPr>
        <w:t xml:space="preserve"> </w:t>
      </w:r>
      <w:r>
        <w:rPr>
          <w:kern w:val="0"/>
        </w:rPr>
        <w:t>TELEMAC to simulatethe dynamics of vegetated alluvial</w:t>
      </w:r>
      <w:r>
        <w:rPr>
          <w:rFonts w:hint="eastAsia"/>
          <w:kern w:val="0"/>
        </w:rPr>
        <w:t xml:space="preserve"> </w:t>
      </w:r>
      <w:r>
        <w:rPr>
          <w:kern w:val="0"/>
        </w:rPr>
        <w:t>floodplains' In: O. Bertrand and C. Coulet (Eds). Proceedings of the 21st Telemac-Mascaret</w:t>
      </w:r>
      <w:r>
        <w:rPr>
          <w:rFonts w:hint="eastAsia"/>
          <w:kern w:val="0"/>
        </w:rPr>
        <w:t xml:space="preserve"> </w:t>
      </w:r>
      <w:r>
        <w:rPr>
          <w:kern w:val="0"/>
        </w:rPr>
        <w:t>User Conference., 'Telemac-Mascaret User Conference'. Held 15-17 October 2014 at</w:t>
      </w:r>
      <w:r>
        <w:rPr>
          <w:rFonts w:hint="eastAsia"/>
          <w:kern w:val="0"/>
        </w:rPr>
        <w:t xml:space="preserve"> </w:t>
      </w:r>
      <w:r>
        <w:rPr>
          <w:kern w:val="0"/>
        </w:rPr>
        <w:t>Grenoble, France. Grenoble: Artelia Eau &amp; Environnement, 169-177.</w:t>
      </w:r>
    </w:p>
    <w:p w:rsidR="00EE179F" w:rsidRDefault="00295CA0" w:rsidP="00295CA0">
      <w:pPr>
        <w:ind w:firstLine="480"/>
        <w:rPr>
          <w:kern w:val="0"/>
        </w:rPr>
      </w:pPr>
      <w:r>
        <w:rPr>
          <w:kern w:val="0"/>
        </w:rPr>
        <w:t xml:space="preserve">Li, Y.C., Chen, Y.M., Zhan, T.L.T., Ling, D.S. </w:t>
      </w:r>
      <w:r>
        <w:rPr>
          <w:rFonts w:hint="eastAsia"/>
          <w:kern w:val="0"/>
        </w:rPr>
        <w:t xml:space="preserve">, </w:t>
      </w:r>
      <w:r>
        <w:rPr>
          <w:kern w:val="0"/>
        </w:rPr>
        <w:t>Cleall, P.J.2010. An efficient approach for locating the critical slip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surface in slope stability analyses using a real-coded genetic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algorithm. </w:t>
      </w:r>
      <w:r>
        <w:rPr>
          <w:rFonts w:ascii="TimesNewRomanPS-ItalicMT" w:hAnsi="TimesNewRomanPS-ItalicMT" w:cs="TimesNewRomanPS-ItalicMT"/>
          <w:i/>
          <w:iCs/>
          <w:kern w:val="0"/>
        </w:rPr>
        <w:t>Can. Geotech. J. 47</w:t>
      </w:r>
      <w:r>
        <w:rPr>
          <w:kern w:val="0"/>
        </w:rPr>
        <w:t>: 806-820.</w:t>
      </w:r>
    </w:p>
    <w:p w:rsidR="00163DF4" w:rsidRDefault="00DC4B23" w:rsidP="00DC4B23">
      <w:pPr>
        <w:ind w:firstLine="480"/>
        <w:rPr>
          <w:kern w:val="0"/>
        </w:rPr>
      </w:pPr>
      <w:r>
        <w:rPr>
          <w:kern w:val="0"/>
        </w:rPr>
        <w:t>Camporeale, C., Perona, P., Porporato, A. &amp; Ridolfi, L. 2005.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On the long-term behavior of meandering rivers. </w:t>
      </w:r>
      <w:r>
        <w:rPr>
          <w:rFonts w:ascii="TimesNewRomanPS-ItalicMT" w:hAnsi="TimesNewRomanPS-ItalicMT" w:cs="TimesNewRomanPS-ItalicMT"/>
          <w:i/>
          <w:iCs/>
          <w:kern w:val="0"/>
        </w:rPr>
        <w:t>Water Resources</w:t>
      </w:r>
      <w:r>
        <w:rPr>
          <w:rFonts w:ascii="TimesNewRomanPS-ItalicMT" w:hAnsi="TimesNewRomanPS-ItalicMT" w:cs="TimesNewRomanPS-ItalicMT" w:hint="eastAsia"/>
          <w:i/>
          <w:iCs/>
          <w:kern w:val="0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</w:rPr>
        <w:t>Research 41</w:t>
      </w:r>
      <w:r>
        <w:rPr>
          <w:kern w:val="0"/>
        </w:rPr>
        <w:t>(12): W12403.</w:t>
      </w:r>
    </w:p>
    <w:p w:rsidR="00EE179F" w:rsidRDefault="00DC4B23" w:rsidP="00DC4B23">
      <w:pPr>
        <w:ind w:firstLine="480"/>
        <w:rPr>
          <w:kern w:val="0"/>
        </w:rPr>
      </w:pPr>
      <w:r>
        <w:rPr>
          <w:kern w:val="0"/>
        </w:rPr>
        <w:t>Güneralp, I., Abad, J.D., Zolezzi, G., &amp; Hooke, J. 2012. Advances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challenges in meandering channels research.</w:t>
      </w:r>
      <w:r>
        <w:rPr>
          <w:rFonts w:hint="eastAsia"/>
          <w:kern w:val="0"/>
        </w:rPr>
        <w:t xml:space="preserve"> </w:t>
      </w:r>
      <w:r>
        <w:rPr>
          <w:rFonts w:ascii="TimesNewRomanPS-ItalicMT" w:hAnsi="TimesNewRomanPS-ItalicMT" w:cs="TimesNewRomanPS-ItalicMT"/>
          <w:i/>
          <w:iCs/>
          <w:kern w:val="0"/>
        </w:rPr>
        <w:t>Geomorphology 163-164</w:t>
      </w:r>
      <w:r>
        <w:rPr>
          <w:kern w:val="0"/>
        </w:rPr>
        <w:t>: 1-9.</w:t>
      </w:r>
    </w:p>
    <w:p w:rsidR="00EE179F" w:rsidRDefault="00DC4B23" w:rsidP="00DC4B23">
      <w:pPr>
        <w:ind w:firstLine="480"/>
        <w:rPr>
          <w:kern w:val="0"/>
        </w:rPr>
      </w:pPr>
      <w:r>
        <w:rPr>
          <w:kern w:val="0"/>
        </w:rPr>
        <w:t>Malkinson, D. &amp; Wittenberg, L. 2007. Scaling the effects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riparian vegetation </w:t>
      </w:r>
      <w:r>
        <w:rPr>
          <w:kern w:val="0"/>
        </w:rPr>
        <w:lastRenderedPageBreak/>
        <w:t>on cross-sectional characteristics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>ephemeral mountain streams: A case study of Nahal Oren,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Mt. Carmel, Israel. </w:t>
      </w:r>
      <w:r>
        <w:rPr>
          <w:rFonts w:ascii="TimesNewRomanPS-ItalicMT" w:hAnsi="TimesNewRomanPS-ItalicMT" w:cs="TimesNewRomanPS-ItalicMT"/>
          <w:i/>
          <w:iCs/>
          <w:kern w:val="0"/>
        </w:rPr>
        <w:t>Catena 69</w:t>
      </w:r>
      <w:r>
        <w:rPr>
          <w:kern w:val="0"/>
        </w:rPr>
        <w:t>(2):103-110.</w:t>
      </w:r>
    </w:p>
    <w:p w:rsidR="00292DDD" w:rsidRDefault="00292DDD" w:rsidP="0057601F">
      <w:pPr>
        <w:ind w:firstLineChars="0" w:firstLine="0"/>
      </w:pPr>
    </w:p>
    <w:sectPr w:rsidR="00292DDD" w:rsidSect="00D01E9C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783" w:rsidRDefault="00D5478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D54783" w:rsidRDefault="00D5478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ion Pro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783" w:rsidRDefault="00D5478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D54783" w:rsidRDefault="00D5478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6251"/>
    <w:rsid w:val="00006E4D"/>
    <w:rsid w:val="000171E5"/>
    <w:rsid w:val="0003217D"/>
    <w:rsid w:val="00052712"/>
    <w:rsid w:val="00062F38"/>
    <w:rsid w:val="000A3734"/>
    <w:rsid w:val="000A7721"/>
    <w:rsid w:val="000F30F5"/>
    <w:rsid w:val="00103030"/>
    <w:rsid w:val="001041AC"/>
    <w:rsid w:val="00105794"/>
    <w:rsid w:val="00114923"/>
    <w:rsid w:val="00114D53"/>
    <w:rsid w:val="00124361"/>
    <w:rsid w:val="0013616A"/>
    <w:rsid w:val="00140BC3"/>
    <w:rsid w:val="00157FC4"/>
    <w:rsid w:val="00163DF4"/>
    <w:rsid w:val="001824FA"/>
    <w:rsid w:val="00193FA5"/>
    <w:rsid w:val="001F087B"/>
    <w:rsid w:val="001F13CA"/>
    <w:rsid w:val="00201213"/>
    <w:rsid w:val="00267F99"/>
    <w:rsid w:val="00292DDD"/>
    <w:rsid w:val="00295CA0"/>
    <w:rsid w:val="002A1942"/>
    <w:rsid w:val="002B3843"/>
    <w:rsid w:val="00301313"/>
    <w:rsid w:val="0030474D"/>
    <w:rsid w:val="003112B9"/>
    <w:rsid w:val="00311672"/>
    <w:rsid w:val="00320B37"/>
    <w:rsid w:val="00327F2E"/>
    <w:rsid w:val="003759FC"/>
    <w:rsid w:val="00386B9C"/>
    <w:rsid w:val="003A6AA8"/>
    <w:rsid w:val="003C43D0"/>
    <w:rsid w:val="003D05E9"/>
    <w:rsid w:val="003D1011"/>
    <w:rsid w:val="003D2342"/>
    <w:rsid w:val="00446711"/>
    <w:rsid w:val="004521B3"/>
    <w:rsid w:val="004539BF"/>
    <w:rsid w:val="00467CAD"/>
    <w:rsid w:val="00470730"/>
    <w:rsid w:val="00474C83"/>
    <w:rsid w:val="00475336"/>
    <w:rsid w:val="004928BF"/>
    <w:rsid w:val="00493EDE"/>
    <w:rsid w:val="004976DD"/>
    <w:rsid w:val="004B1DE7"/>
    <w:rsid w:val="00507522"/>
    <w:rsid w:val="00507FE8"/>
    <w:rsid w:val="00514482"/>
    <w:rsid w:val="00534B14"/>
    <w:rsid w:val="0057601F"/>
    <w:rsid w:val="005A0EDC"/>
    <w:rsid w:val="005B7B0B"/>
    <w:rsid w:val="005D2D6A"/>
    <w:rsid w:val="005D5690"/>
    <w:rsid w:val="005E2D39"/>
    <w:rsid w:val="006046C3"/>
    <w:rsid w:val="00623D69"/>
    <w:rsid w:val="006363AC"/>
    <w:rsid w:val="006510DC"/>
    <w:rsid w:val="00651DF0"/>
    <w:rsid w:val="00651E13"/>
    <w:rsid w:val="00675230"/>
    <w:rsid w:val="00691192"/>
    <w:rsid w:val="006A670F"/>
    <w:rsid w:val="006D5C4B"/>
    <w:rsid w:val="006F2316"/>
    <w:rsid w:val="00700C67"/>
    <w:rsid w:val="0071619F"/>
    <w:rsid w:val="00716D6F"/>
    <w:rsid w:val="007225A4"/>
    <w:rsid w:val="00763ACB"/>
    <w:rsid w:val="007664A4"/>
    <w:rsid w:val="0078114F"/>
    <w:rsid w:val="007B4CAF"/>
    <w:rsid w:val="00804A93"/>
    <w:rsid w:val="008355B5"/>
    <w:rsid w:val="00847227"/>
    <w:rsid w:val="0084766C"/>
    <w:rsid w:val="0088215B"/>
    <w:rsid w:val="00883063"/>
    <w:rsid w:val="008A1DD6"/>
    <w:rsid w:val="008C3E70"/>
    <w:rsid w:val="008E284A"/>
    <w:rsid w:val="008E2947"/>
    <w:rsid w:val="00907428"/>
    <w:rsid w:val="00952C6F"/>
    <w:rsid w:val="00953D96"/>
    <w:rsid w:val="00960A79"/>
    <w:rsid w:val="009908B8"/>
    <w:rsid w:val="00992C9F"/>
    <w:rsid w:val="009A5F45"/>
    <w:rsid w:val="009B75F9"/>
    <w:rsid w:val="009C090C"/>
    <w:rsid w:val="009C2D8F"/>
    <w:rsid w:val="009D092B"/>
    <w:rsid w:val="00A016DB"/>
    <w:rsid w:val="00A019B2"/>
    <w:rsid w:val="00A105C7"/>
    <w:rsid w:val="00A15D42"/>
    <w:rsid w:val="00A45FE2"/>
    <w:rsid w:val="00A47060"/>
    <w:rsid w:val="00A74414"/>
    <w:rsid w:val="00A802AB"/>
    <w:rsid w:val="00AB4296"/>
    <w:rsid w:val="00AC0A66"/>
    <w:rsid w:val="00AC26C9"/>
    <w:rsid w:val="00AE18A5"/>
    <w:rsid w:val="00AE18C1"/>
    <w:rsid w:val="00B40FDD"/>
    <w:rsid w:val="00B416B4"/>
    <w:rsid w:val="00B658BB"/>
    <w:rsid w:val="00B71325"/>
    <w:rsid w:val="00B722FF"/>
    <w:rsid w:val="00B72378"/>
    <w:rsid w:val="00B761BF"/>
    <w:rsid w:val="00B77220"/>
    <w:rsid w:val="00B93861"/>
    <w:rsid w:val="00BA5F65"/>
    <w:rsid w:val="00BB2744"/>
    <w:rsid w:val="00BD3758"/>
    <w:rsid w:val="00BD3DB0"/>
    <w:rsid w:val="00BE6526"/>
    <w:rsid w:val="00BE7E39"/>
    <w:rsid w:val="00C02115"/>
    <w:rsid w:val="00C02C87"/>
    <w:rsid w:val="00C25AC4"/>
    <w:rsid w:val="00C62200"/>
    <w:rsid w:val="00C87496"/>
    <w:rsid w:val="00C90A68"/>
    <w:rsid w:val="00C925A8"/>
    <w:rsid w:val="00CA2E66"/>
    <w:rsid w:val="00CB5113"/>
    <w:rsid w:val="00CB7EDD"/>
    <w:rsid w:val="00CD4D16"/>
    <w:rsid w:val="00CF70E2"/>
    <w:rsid w:val="00D01E9C"/>
    <w:rsid w:val="00D0786D"/>
    <w:rsid w:val="00D20588"/>
    <w:rsid w:val="00D2265F"/>
    <w:rsid w:val="00D54783"/>
    <w:rsid w:val="00D674F0"/>
    <w:rsid w:val="00D744F1"/>
    <w:rsid w:val="00D82003"/>
    <w:rsid w:val="00D832B8"/>
    <w:rsid w:val="00D87A4C"/>
    <w:rsid w:val="00D935CA"/>
    <w:rsid w:val="00D944CC"/>
    <w:rsid w:val="00DB2304"/>
    <w:rsid w:val="00DC08F5"/>
    <w:rsid w:val="00DC4B23"/>
    <w:rsid w:val="00DD3525"/>
    <w:rsid w:val="00DD42C3"/>
    <w:rsid w:val="00DE04C5"/>
    <w:rsid w:val="00DF17F1"/>
    <w:rsid w:val="00E11C40"/>
    <w:rsid w:val="00E162C5"/>
    <w:rsid w:val="00E16A47"/>
    <w:rsid w:val="00E22096"/>
    <w:rsid w:val="00E3774C"/>
    <w:rsid w:val="00E44A6C"/>
    <w:rsid w:val="00E464F2"/>
    <w:rsid w:val="00EC0C86"/>
    <w:rsid w:val="00EE06E4"/>
    <w:rsid w:val="00EE179F"/>
    <w:rsid w:val="00F07685"/>
    <w:rsid w:val="00F26373"/>
    <w:rsid w:val="00F51C6F"/>
    <w:rsid w:val="00F5493D"/>
    <w:rsid w:val="00F61EB9"/>
    <w:rsid w:val="00F6408D"/>
    <w:rsid w:val="00F6409D"/>
    <w:rsid w:val="00F71417"/>
    <w:rsid w:val="00F86675"/>
    <w:rsid w:val="00F940A9"/>
    <w:rsid w:val="00FA2981"/>
    <w:rsid w:val="00FB0710"/>
    <w:rsid w:val="00FB225D"/>
    <w:rsid w:val="00FD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rsid w:val="00C90A6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10">
    <w:name w:val="A1"/>
    <w:uiPriority w:val="99"/>
    <w:rsid w:val="00CF70E2"/>
    <w:rPr>
      <w:rFonts w:cs="Minion Pro"/>
      <w:i/>
      <w:iCs/>
      <w:color w:val="211D1E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3DB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3DB0"/>
    <w:rPr>
      <w:rFonts w:ascii="Times New Roman" w:hAnsi="Times New Roman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57601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7601F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emf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wmf"/><Relationship Id="rId49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footer" Target="footer1.xml"/><Relationship Id="rId8" Type="http://schemas.openxmlformats.org/officeDocument/2006/relationships/image" Target="media/image3.emf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7</Pages>
  <Words>652</Words>
  <Characters>3720</Characters>
  <Application>Microsoft Office Word</Application>
  <DocSecurity>0</DocSecurity>
  <Lines>31</Lines>
  <Paragraphs>8</Paragraphs>
  <ScaleCrop>false</ScaleCrop>
  <Company>Microsoft</Company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216</cp:revision>
  <dcterms:created xsi:type="dcterms:W3CDTF">2018-09-12T01:04:00Z</dcterms:created>
  <dcterms:modified xsi:type="dcterms:W3CDTF">2021-01-13T05:48:00Z</dcterms:modified>
</cp:coreProperties>
</file>