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钢材年度采购合同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甲方：华东精密制造有限公司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乙方：鑫源钢铁贸易有限公司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甲方向乙方采购钢材一批，年度预计采购量 500 吨，具体规格、数量以采购订单为准。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合同总价暂定为人民币 2,250,000 元（含税），按实际订单结算，单价为人民币 4,500 元/吨。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甲方应在收到货物后 30 日内支付货款。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乙方应在收到订单后 15 日内交货至甲方仓库。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甲方应在收货后 15 日内完成验收，验收标准见附件技术协议。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质保期为验收合格后 12 个月。</w:t>
      </w:r>
    </w:p>
    <w:p>
      <w:r>
        <w:rPr>
          <w:rFonts w:ascii="微软雅黑" w:hAnsi="微软雅黑" w:eastAsia="微软雅黑"/>
          <w:b/>
          <w:i w:val="0"/>
          <w:sz w:val="24"/>
        </w:rPr>
        <w:t>第七条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乙方逾期交货的，按日万分之五支付违约金；违约金累计不超过合同总价的 3%。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乙方应赔偿因违约给甲方造成的全部损失，包括间接损失和可得利益损失。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甲方逾期付款的，按日万分之五支付违约金。</w:t>
      </w:r>
    </w:p>
    <w:p>
      <w:r>
        <w:rPr>
          <w:rFonts w:ascii="微软雅黑" w:hAnsi="微软雅黑" w:eastAsia="微软雅黑"/>
          <w:b/>
          <w:i w:val="0"/>
          <w:sz w:val="24"/>
        </w:rPr>
        <w:t>第八条 合同解除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乙方有权在甲方逾期付款超过 30 日时解除合同；甲方无权解除合同。</w:t>
      </w:r>
    </w:p>
    <w:p>
      <w:r>
        <w:rPr>
          <w:rFonts w:ascii="微软雅黑" w:hAnsi="微软雅黑" w:eastAsia="微软雅黑"/>
          <w:b/>
          <w:i w:val="0"/>
          <w:sz w:val="24"/>
        </w:rPr>
        <w:t>第九条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因本合同发生争议，提交上海仲裁委员会仲裁，也可以向甲方所在地人民法院起诉。</w:t>
      </w:r>
    </w:p>
    <w:p>
      <w:r>
        <w:rPr>
          <w:rFonts w:ascii="微软雅黑" w:hAnsi="微软雅黑" w:eastAsia="微软雅黑"/>
          <w:b/>
          <w:i w:val="0"/>
          <w:sz w:val="24"/>
        </w:rPr>
        <w:t>第十条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本合同自双方签字盖章之日起生效。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