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品牌视觉规范</w:t>
      </w:r>
    </w:p>
    <w:p>
      <w:pPr>
        <w:pStyle w:val="Heading1"/>
      </w:pPr>
      <w:r>
        <w:t>品牌视觉规范</w:t>
      </w:r>
    </w:p>
    <w:p>
      <w:pPr>
        <w:pStyle w:val="Heading2"/>
      </w:pPr>
      <w:r>
        <w:t>色板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Hex</w:t>
            </w:r>
          </w:p>
        </w:tc>
        <w:tc>
          <w:tcPr>
            <w:tcW w:type="dxa" w:w="2160"/>
          </w:tcPr>
          <w:p>
            <w:r>
              <w:t>RGB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主色</w:t>
            </w:r>
          </w:p>
        </w:tc>
        <w:tc>
          <w:tcPr>
            <w:tcW w:type="dxa" w:w="2160"/>
          </w:tcPr>
          <w:p>
            <w:r>
              <w:t>#2B6CB0</w:t>
            </w:r>
          </w:p>
        </w:tc>
        <w:tc>
          <w:tcPr>
            <w:tcW w:type="dxa" w:w="2160"/>
          </w:tcPr>
          <w:p>
            <w:r>
              <w:t>43, 108, 176</w:t>
            </w:r>
          </w:p>
        </w:tc>
        <w:tc>
          <w:tcPr>
            <w:tcW w:type="dxa" w:w="2160"/>
          </w:tcPr>
          <w:p>
            <w:r>
              <w:t>导航栏、主按钮、核心图标</w:t>
            </w:r>
          </w:p>
        </w:tc>
      </w:tr>
      <w:tr>
        <w:tc>
          <w:tcPr>
            <w:tcW w:type="dxa" w:w="2160"/>
          </w:tcPr>
          <w:p>
            <w:r>
              <w:t>强调色</w:t>
            </w:r>
          </w:p>
        </w:tc>
        <w:tc>
          <w:tcPr>
            <w:tcW w:type="dxa" w:w="2160"/>
          </w:tcPr>
          <w:p>
            <w:r>
              <w:t>#ED8936</w:t>
            </w:r>
          </w:p>
        </w:tc>
        <w:tc>
          <w:tcPr>
            <w:tcW w:type="dxa" w:w="2160"/>
          </w:tcPr>
          <w:p>
            <w:r>
              <w:t>237, 137, 54</w:t>
            </w:r>
          </w:p>
        </w:tc>
        <w:tc>
          <w:tcPr>
            <w:tcW w:type="dxa" w:w="2160"/>
          </w:tcPr>
          <w:p>
            <w:r>
              <w:t>CTA按钮、通知徽章、状态指示</w:t>
            </w:r>
          </w:p>
        </w:tc>
      </w:tr>
      <w:tr>
        <w:tc>
          <w:tcPr>
            <w:tcW w:type="dxa" w:w="2160"/>
          </w:tcPr>
          <w:p>
            <w:r>
              <w:t>深色文字</w:t>
            </w:r>
          </w:p>
        </w:tc>
        <w:tc>
          <w:tcPr>
            <w:tcW w:type="dxa" w:w="2160"/>
          </w:tcPr>
          <w:p>
            <w:r>
              <w:t>#1A2332</w:t>
            </w:r>
          </w:p>
        </w:tc>
        <w:tc>
          <w:tcPr>
            <w:tcW w:type="dxa" w:w="2160"/>
          </w:tcPr>
          <w:p>
            <w:r>
              <w:t>26, 35, 50</w:t>
            </w:r>
          </w:p>
        </w:tc>
        <w:tc>
          <w:tcPr>
            <w:tcW w:type="dxa" w:w="2160"/>
          </w:tcPr>
          <w:p>
            <w:r>
              <w:t>标题、正文</w:t>
            </w:r>
          </w:p>
        </w:tc>
      </w:tr>
      <w:tr>
        <w:tc>
          <w:tcPr>
            <w:tcW w:type="dxa" w:w="2160"/>
          </w:tcPr>
          <w:p>
            <w:r>
              <w:t>中深灰</w:t>
            </w:r>
          </w:p>
        </w:tc>
        <w:tc>
          <w:tcPr>
            <w:tcW w:type="dxa" w:w="2160"/>
          </w:tcPr>
          <w:p>
            <w:r>
              <w:t>#4A5568</w:t>
            </w:r>
          </w:p>
        </w:tc>
        <w:tc>
          <w:tcPr>
            <w:tcW w:type="dxa" w:w="2160"/>
          </w:tcPr>
          <w:p>
            <w:r>
              <w:t>74, 85, 104</w:t>
            </w:r>
          </w:p>
        </w:tc>
        <w:tc>
          <w:tcPr>
            <w:tcW w:type="dxa" w:w="2160"/>
          </w:tcPr>
          <w:p>
            <w:r>
              <w:t>次要文字</w:t>
            </w:r>
          </w:p>
        </w:tc>
      </w:tr>
      <w:tr>
        <w:tc>
          <w:tcPr>
            <w:tcW w:type="dxa" w:w="2160"/>
          </w:tcPr>
          <w:p>
            <w:r>
              <w:t>中灰</w:t>
            </w:r>
          </w:p>
        </w:tc>
        <w:tc>
          <w:tcPr>
            <w:tcW w:type="dxa" w:w="2160"/>
          </w:tcPr>
          <w:p>
            <w:r>
              <w:t>#718096</w:t>
            </w:r>
          </w:p>
        </w:tc>
        <w:tc>
          <w:tcPr>
            <w:tcW w:type="dxa" w:w="2160"/>
          </w:tcPr>
          <w:p>
            <w:r>
              <w:t>113, 128, 150</w:t>
            </w:r>
          </w:p>
        </w:tc>
        <w:tc>
          <w:tcPr>
            <w:tcW w:type="dxa" w:w="2160"/>
          </w:tcPr>
          <w:p>
            <w:r>
              <w:t>辅助说明</w:t>
            </w:r>
          </w:p>
        </w:tc>
      </w:tr>
      <w:tr>
        <w:tc>
          <w:tcPr>
            <w:tcW w:type="dxa" w:w="2160"/>
          </w:tcPr>
          <w:p>
            <w:r>
              <w:t>浅灰</w:t>
            </w:r>
          </w:p>
        </w:tc>
        <w:tc>
          <w:tcPr>
            <w:tcW w:type="dxa" w:w="2160"/>
          </w:tcPr>
          <w:p>
            <w:r>
              <w:t>#A0AEC0</w:t>
            </w:r>
          </w:p>
        </w:tc>
        <w:tc>
          <w:tcPr>
            <w:tcW w:type="dxa" w:w="2160"/>
          </w:tcPr>
          <w:p>
            <w:r>
              <w:t>160, 174, 192</w:t>
            </w:r>
          </w:p>
        </w:tc>
        <w:tc>
          <w:tcPr>
            <w:tcW w:type="dxa" w:w="2160"/>
          </w:tcPr>
          <w:p>
            <w:r>
              <w:t>边框、分割线、禁用态</w:t>
            </w:r>
          </w:p>
        </w:tc>
      </w:tr>
      <w:tr>
        <w:tc>
          <w:tcPr>
            <w:tcW w:type="dxa" w:w="2160"/>
          </w:tcPr>
          <w:p>
            <w:r>
              <w:t>极浅灰</w:t>
            </w:r>
          </w:p>
        </w:tc>
        <w:tc>
          <w:tcPr>
            <w:tcW w:type="dxa" w:w="2160"/>
          </w:tcPr>
          <w:p>
            <w:r>
              <w:t>#E2E8F0</w:t>
            </w:r>
          </w:p>
        </w:tc>
        <w:tc>
          <w:tcPr>
            <w:tcW w:type="dxa" w:w="2160"/>
          </w:tcPr>
          <w:p>
            <w:r>
              <w:t>226, 232, 240</w:t>
            </w:r>
          </w:p>
        </w:tc>
        <w:tc>
          <w:tcPr>
            <w:tcW w:type="dxa" w:w="2160"/>
          </w:tcPr>
          <w:p>
            <w:r>
              <w:t>背景区域</w:t>
            </w:r>
          </w:p>
        </w:tc>
      </w:tr>
      <w:tr>
        <w:tc>
          <w:tcPr>
            <w:tcW w:type="dxa" w:w="2160"/>
          </w:tcPr>
          <w:p>
            <w:r>
              <w:t>近白</w:t>
            </w:r>
          </w:p>
        </w:tc>
        <w:tc>
          <w:tcPr>
            <w:tcW w:type="dxa" w:w="2160"/>
          </w:tcPr>
          <w:p>
            <w:r>
              <w:t>#F7FAFC</w:t>
            </w:r>
          </w:p>
        </w:tc>
        <w:tc>
          <w:tcPr>
            <w:tcW w:type="dxa" w:w="2160"/>
          </w:tcPr>
          <w:p>
            <w:r>
              <w:t>247, 250, 252</w:t>
            </w:r>
          </w:p>
        </w:tc>
        <w:tc>
          <w:tcPr>
            <w:tcW w:type="dxa" w:w="2160"/>
          </w:tcPr>
          <w:p>
            <w:r>
              <w:t>大面积背景</w:t>
            </w:r>
          </w:p>
        </w:tc>
      </w:tr>
    </w:tbl>
    <w:p>
      <w:pPr>
        <w:pStyle w:val="Heading2"/>
      </w:pPr>
      <w:r>
        <w:t>字体组合</w:t>
      </w:r>
    </w:p>
    <w:p>
      <w:r>
        <w:t>**中文：思源黑体 Noto Sans SC**</w:t>
      </w:r>
    </w:p>
    <w:p>
      <w:r>
        <w:t>Regular 400 / Medium 500 / Bold 700</w:t>
      </w:r>
    </w:p>
    <w:p>
      <w:r>
        <w:t>**英文/数字：Inter**</w:t>
      </w:r>
    </w:p>
    <w:p>
      <w:r>
        <w:t>Regular 400 / Medium 500 / Bold 700</w:t>
      </w:r>
    </w:p>
    <w:p>
      <w:r>
        <w:t>备选：苹方 / 微软雅黑 / SF Pro / Roboto</w:t>
      </w:r>
    </w:p>
    <w:p>
      <w:pPr>
        <w:pStyle w:val="Heading2"/>
      </w:pPr>
      <w:r>
        <w:t>字体层级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级别</w:t>
            </w:r>
          </w:p>
        </w:tc>
        <w:tc>
          <w:tcPr>
            <w:tcW w:type="dxa" w:w="1728"/>
          </w:tcPr>
          <w:p>
            <w:r>
              <w:t>字号</w:t>
            </w:r>
          </w:p>
        </w:tc>
        <w:tc>
          <w:tcPr>
            <w:tcW w:type="dxa" w:w="1728"/>
          </w:tcPr>
          <w:p>
            <w:r>
              <w:t>字重</w:t>
            </w:r>
          </w:p>
        </w:tc>
        <w:tc>
          <w:tcPr>
            <w:tcW w:type="dxa" w:w="1728"/>
          </w:tcPr>
          <w:p>
            <w:r>
              <w:t>颜色</w:t>
            </w:r>
          </w:p>
        </w:tc>
        <w:tc>
          <w:tcPr>
            <w:tcW w:type="dxa" w:w="1728"/>
          </w:tcPr>
          <w:p>
            <w:r>
              <w:t>行高</w:t>
            </w:r>
          </w:p>
        </w:tc>
      </w:tr>
      <w:tr>
        <w:tc>
          <w:tcPr>
            <w:tcW w:type="dxa" w:w="1728"/>
          </w:tcPr>
          <w:p>
            <w:r>
              <w:t>H1 主标题</w:t>
            </w:r>
          </w:p>
        </w:tc>
        <w:tc>
          <w:tcPr>
            <w:tcW w:type="dxa" w:w="1728"/>
          </w:tcPr>
          <w:p>
            <w:r>
              <w:t>32px</w:t>
            </w:r>
          </w:p>
        </w:tc>
        <w:tc>
          <w:tcPr>
            <w:tcW w:type="dxa" w:w="1728"/>
          </w:tcPr>
          <w:p>
            <w:r>
              <w:t>Bold</w:t>
            </w:r>
          </w:p>
        </w:tc>
        <w:tc>
          <w:tcPr>
            <w:tcW w:type="dxa" w:w="1728"/>
          </w:tcPr>
          <w:p>
            <w:r>
              <w:t>#1A2332</w:t>
            </w:r>
          </w:p>
        </w:tc>
        <w:tc>
          <w:tcPr>
            <w:tcW w:type="dxa" w:w="1728"/>
          </w:tcPr>
          <w:p>
            <w:r>
              <w:t>1.4</w:t>
            </w:r>
          </w:p>
        </w:tc>
      </w:tr>
      <w:tr>
        <w:tc>
          <w:tcPr>
            <w:tcW w:type="dxa" w:w="1728"/>
          </w:tcPr>
          <w:p>
            <w:r>
              <w:t>H2 副标题</w:t>
            </w:r>
          </w:p>
        </w:tc>
        <w:tc>
          <w:tcPr>
            <w:tcW w:type="dxa" w:w="1728"/>
          </w:tcPr>
          <w:p>
            <w:r>
              <w:t>24px</w:t>
            </w:r>
          </w:p>
        </w:tc>
        <w:tc>
          <w:tcPr>
            <w:tcW w:type="dxa" w:w="1728"/>
          </w:tcPr>
          <w:p>
            <w:r>
              <w:t>SemiBold</w:t>
            </w:r>
          </w:p>
        </w:tc>
        <w:tc>
          <w:tcPr>
            <w:tcW w:type="dxa" w:w="1728"/>
          </w:tcPr>
          <w:p>
            <w:r>
              <w:t>#2B6CB0</w:t>
            </w:r>
          </w:p>
        </w:tc>
        <w:tc>
          <w:tcPr>
            <w:tcW w:type="dxa" w:w="1728"/>
          </w:tcPr>
          <w:p>
            <w:r>
              <w:t>1.4</w:t>
            </w:r>
          </w:p>
        </w:tc>
      </w:tr>
      <w:tr>
        <w:tc>
          <w:tcPr>
            <w:tcW w:type="dxa" w:w="1728"/>
          </w:tcPr>
          <w:p>
            <w:r>
              <w:t>H3 小节标题</w:t>
            </w:r>
          </w:p>
        </w:tc>
        <w:tc>
          <w:tcPr>
            <w:tcW w:type="dxa" w:w="1728"/>
          </w:tcPr>
          <w:p>
            <w:r>
              <w:t>18px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#4A5568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Body 正文</w:t>
            </w:r>
          </w:p>
        </w:tc>
        <w:tc>
          <w:tcPr>
            <w:tcW w:type="dxa" w:w="1728"/>
          </w:tcPr>
          <w:p>
            <w:r>
              <w:t>16px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#1A2332</w:t>
            </w:r>
          </w:p>
        </w:tc>
        <w:tc>
          <w:tcPr>
            <w:tcW w:type="dxa" w:w="1728"/>
          </w:tcPr>
          <w:p>
            <w:r>
              <w:t>1.6</w:t>
            </w:r>
          </w:p>
        </w:tc>
      </w:tr>
      <w:tr>
        <w:tc>
          <w:tcPr>
            <w:tcW w:type="dxa" w:w="1728"/>
          </w:tcPr>
          <w:p>
            <w:r>
              <w:t>Small 辅助</w:t>
            </w:r>
          </w:p>
        </w:tc>
        <w:tc>
          <w:tcPr>
            <w:tcW w:type="dxa" w:w="1728"/>
          </w:tcPr>
          <w:p>
            <w:r>
              <w:t>14px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#718096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Caption 注释</w:t>
            </w:r>
          </w:p>
        </w:tc>
        <w:tc>
          <w:tcPr>
            <w:tcW w:type="dxa" w:w="1728"/>
          </w:tcPr>
          <w:p>
            <w:r>
              <w:t>12px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>
            <w:r>
              <w:t>#A0AEC0</w:t>
            </w:r>
          </w:p>
        </w:tc>
        <w:tc>
          <w:tcPr>
            <w:tcW w:type="dxa" w:w="1728"/>
          </w:tcPr>
          <w:p>
            <w:r>
              <w:t>1.4</w:t>
            </w:r>
          </w:p>
        </w:tc>
      </w:tr>
    </w:tbl>
    <w:p>
      <w:pPr>
        <w:pStyle w:val="Heading2"/>
      </w:pPr>
      <w:r>
        <w:t>应用规范</w:t>
      </w:r>
    </w:p>
    <w:p>
      <w:r>
        <w:t>**按钮**：主按钮 #2B6CB0 白字 / 次级按钮透明底蓝边 / CTA #ED8936 白字</w:t>
      </w:r>
    </w:p>
    <w:p>
      <w:r>
        <w:t>**导航栏**：#2B6CB0 背景 + 白色文字</w:t>
      </w:r>
    </w:p>
    <w:p>
      <w:r>
        <w:t>**卡片背景**：#F7FAFC</w:t>
      </w:r>
    </w:p>
    <w:p>
      <w:r>
        <w:t>**分割线**：#E2E8F0</w:t>
      </w:r>
    </w:p>
    <w:p>
      <w:pPr>
        <w:pStyle w:val="Heading2"/>
      </w:pPr>
      <w:r>
        <w:t>禁止用法</w:t>
      </w:r>
    </w:p>
    <w:p>
      <w:r>
        <w:t>× 橙色用于长段落文字（可读性差）</w:t>
      </w:r>
    </w:p>
    <w:p>
      <w:r>
        <w:t>× 蓝橙直接叠加（对比度不足）</w:t>
      </w:r>
    </w:p>
    <w:p>
      <w:r>
        <w:t>× 浅背景配浅灰文字</w:t>
      </w:r>
    </w:p>
    <w:p>
      <w:r>
        <w:t>× 同时使用三个以上品牌色</w:t>
      </w:r>
    </w:p>
    <w:p>
      <w:r>
        <w:t>× 未定义的色值变体</w:t>
      </w:r>
    </w:p>
    <w:p>
      <w:r>
        <w:t>---</w:t>
      </w:r>
    </w:p>
    <w:p>
      <w:r>
        <w:t>*v1.0 · 2026年*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